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182BD" w14:textId="77777777" w:rsidR="00730342" w:rsidRDefault="00042DB4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4E18318" wp14:editId="74E18319">
            <wp:simplePos x="0" y="0"/>
            <wp:positionH relativeFrom="column">
              <wp:posOffset>243205</wp:posOffset>
            </wp:positionH>
            <wp:positionV relativeFrom="paragraph">
              <wp:posOffset>8085</wp:posOffset>
            </wp:positionV>
            <wp:extent cx="5933910" cy="1876926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 header st1-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8" t="22838" r="60993" b="18887"/>
                    <a:stretch/>
                  </pic:blipFill>
                  <pic:spPr bwMode="auto">
                    <a:xfrm>
                      <a:off x="0" y="0"/>
                      <a:ext cx="5933910" cy="1876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182BE" w14:textId="77777777" w:rsidR="00DA79B6" w:rsidRDefault="00DA79B6" w:rsidP="00650688">
      <w:pPr>
        <w:rPr>
          <w:sz w:val="144"/>
          <w:szCs w:val="144"/>
        </w:rPr>
      </w:pPr>
    </w:p>
    <w:p w14:paraId="74E182BF" w14:textId="77777777" w:rsidR="00DA79B6" w:rsidRDefault="00DA79B6" w:rsidP="00042DB4">
      <w:pPr>
        <w:jc w:val="center"/>
        <w:rPr>
          <w:sz w:val="80"/>
          <w:szCs w:val="80"/>
        </w:rPr>
      </w:pPr>
    </w:p>
    <w:p w14:paraId="74E182C0" w14:textId="77777777" w:rsidR="00042DB4" w:rsidRPr="00042DB4" w:rsidRDefault="00042DB4" w:rsidP="00042DB4">
      <w:pPr>
        <w:jc w:val="center"/>
        <w:rPr>
          <w:sz w:val="80"/>
          <w:szCs w:val="80"/>
        </w:rPr>
      </w:pPr>
      <w:r w:rsidRPr="00042DB4">
        <w:rPr>
          <w:sz w:val="80"/>
          <w:szCs w:val="80"/>
        </w:rPr>
        <w:t>Year 11-12 Transition Pack:</w:t>
      </w:r>
    </w:p>
    <w:p w14:paraId="74E182C1" w14:textId="77777777" w:rsidR="004E1841" w:rsidRPr="005B09D4" w:rsidRDefault="005B09D4" w:rsidP="004E1841">
      <w:pPr>
        <w:jc w:val="center"/>
        <w:rPr>
          <w:color w:val="0070C0"/>
          <w:sz w:val="72"/>
          <w:szCs w:val="120"/>
        </w:rPr>
      </w:pPr>
      <w:r w:rsidRPr="005B09D4">
        <w:rPr>
          <w:color w:val="0070C0"/>
          <w:sz w:val="72"/>
          <w:szCs w:val="120"/>
        </w:rPr>
        <w:t>Level 3 BTEC</w:t>
      </w:r>
    </w:p>
    <w:p w14:paraId="74E182C2" w14:textId="0BBFA9C0" w:rsidR="005B09D4" w:rsidRPr="005B09D4" w:rsidRDefault="00C02F0F" w:rsidP="00C02F0F">
      <w:pPr>
        <w:jc w:val="center"/>
        <w:rPr>
          <w:color w:val="0070C0"/>
          <w:sz w:val="72"/>
          <w:szCs w:val="120"/>
        </w:rPr>
      </w:pPr>
      <w:r>
        <w:rPr>
          <w:color w:val="0070C0"/>
          <w:sz w:val="72"/>
          <w:szCs w:val="120"/>
        </w:rPr>
        <w:t xml:space="preserve">National </w:t>
      </w:r>
      <w:r w:rsidR="005B09D4" w:rsidRPr="005B09D4">
        <w:rPr>
          <w:color w:val="0070C0"/>
          <w:sz w:val="72"/>
          <w:szCs w:val="120"/>
        </w:rPr>
        <w:t>Diploma</w:t>
      </w:r>
      <w:r>
        <w:rPr>
          <w:color w:val="0070C0"/>
          <w:sz w:val="72"/>
          <w:szCs w:val="120"/>
        </w:rPr>
        <w:t xml:space="preserve"> </w:t>
      </w:r>
    </w:p>
    <w:p w14:paraId="74E182C3" w14:textId="65482A4E" w:rsidR="004E1841" w:rsidRPr="00DA79B6" w:rsidRDefault="007E4ABA" w:rsidP="00DA79B6">
      <w:pPr>
        <w:jc w:val="center"/>
        <w:rPr>
          <w:color w:val="0070C0"/>
          <w:sz w:val="144"/>
          <w:szCs w:val="120"/>
        </w:rPr>
      </w:pPr>
      <w:r>
        <w:rPr>
          <w:color w:val="0070C0"/>
          <w:sz w:val="144"/>
          <w:szCs w:val="120"/>
        </w:rPr>
        <w:t>Performing Arts</w:t>
      </w:r>
    </w:p>
    <w:p w14:paraId="74E182C4" w14:textId="77777777" w:rsidR="004E1841" w:rsidRDefault="004E1841"/>
    <w:p w14:paraId="74E182C5" w14:textId="77777777" w:rsidR="004E1841" w:rsidRDefault="00042DB4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4E1831A" wp14:editId="74E1831B">
            <wp:simplePos x="0" y="0"/>
            <wp:positionH relativeFrom="column">
              <wp:posOffset>1985010</wp:posOffset>
            </wp:positionH>
            <wp:positionV relativeFrom="paragraph">
              <wp:posOffset>278765</wp:posOffset>
            </wp:positionV>
            <wp:extent cx="2130425" cy="2428875"/>
            <wp:effectExtent l="0" t="0" r="317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 Salter Letterhea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10" t="3358" r="4068" b="81046"/>
                    <a:stretch/>
                  </pic:blipFill>
                  <pic:spPr bwMode="auto">
                    <a:xfrm>
                      <a:off x="0" y="0"/>
                      <a:ext cx="213042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182C6" w14:textId="77777777" w:rsidR="004E1841" w:rsidRDefault="004E1841"/>
    <w:p w14:paraId="74E182C7" w14:textId="77777777" w:rsidR="004E1841" w:rsidRDefault="004E1841"/>
    <w:p w14:paraId="74E182C8" w14:textId="77777777" w:rsidR="004E1841" w:rsidRDefault="004E1841"/>
    <w:p w14:paraId="74E182C9" w14:textId="77777777" w:rsidR="004E1841" w:rsidRDefault="004E1841"/>
    <w:p w14:paraId="74E182CA" w14:textId="77777777" w:rsidR="00042DB4" w:rsidRDefault="00042DB4" w:rsidP="004E1841"/>
    <w:p w14:paraId="74E182CB" w14:textId="77777777" w:rsidR="00DF5728" w:rsidRDefault="00DF5728" w:rsidP="004E1841">
      <w:pPr>
        <w:rPr>
          <w:b/>
        </w:rPr>
      </w:pPr>
    </w:p>
    <w:p w14:paraId="74E182CC" w14:textId="77777777" w:rsidR="00DA79B6" w:rsidRDefault="00DA79B6" w:rsidP="004E1841">
      <w:pPr>
        <w:rPr>
          <w:b/>
          <w:sz w:val="24"/>
          <w:szCs w:val="24"/>
        </w:rPr>
      </w:pPr>
    </w:p>
    <w:p w14:paraId="74E182CD" w14:textId="77777777" w:rsidR="00DA79B6" w:rsidRDefault="00DA79B6" w:rsidP="004E1841">
      <w:pPr>
        <w:rPr>
          <w:b/>
          <w:sz w:val="24"/>
          <w:szCs w:val="24"/>
        </w:rPr>
      </w:pPr>
    </w:p>
    <w:p w14:paraId="74E182CE" w14:textId="3509833F" w:rsidR="004E1841" w:rsidRPr="002223FB" w:rsidRDefault="004E1841" w:rsidP="004E1841">
      <w:pPr>
        <w:rPr>
          <w:b/>
          <w:sz w:val="24"/>
        </w:rPr>
      </w:pPr>
      <w:r w:rsidRPr="002223FB">
        <w:rPr>
          <w:b/>
          <w:sz w:val="24"/>
        </w:rPr>
        <w:lastRenderedPageBreak/>
        <w:t>Introduction</w:t>
      </w:r>
    </w:p>
    <w:p w14:paraId="74E182CF" w14:textId="1C8BE6FE" w:rsidR="006303B9" w:rsidRPr="006303B9" w:rsidRDefault="005B09D4" w:rsidP="00594CD7">
      <w:pPr>
        <w:jc w:val="both"/>
        <w:rPr>
          <w:b/>
          <w:i/>
          <w:sz w:val="24"/>
        </w:rPr>
      </w:pPr>
      <w:r w:rsidRPr="006303B9">
        <w:rPr>
          <w:b/>
          <w:i/>
          <w:sz w:val="24"/>
        </w:rPr>
        <w:t xml:space="preserve">Want to develop your skills in Dance and Drama? Passionate about the arts? </w:t>
      </w:r>
    </w:p>
    <w:p w14:paraId="74E182D0" w14:textId="220AE015" w:rsidR="006303B9" w:rsidRPr="006303B9" w:rsidRDefault="00D07C3C" w:rsidP="00594CD7">
      <w:pPr>
        <w:jc w:val="both"/>
        <w:rPr>
          <w:b/>
          <w:i/>
          <w:sz w:val="24"/>
        </w:rPr>
      </w:pPr>
      <w:r>
        <w:rPr>
          <w:b/>
          <w:i/>
          <w:sz w:val="24"/>
        </w:rPr>
        <w:t>Want to gain a breadth</w:t>
      </w:r>
      <w:r w:rsidR="005B09D4" w:rsidRPr="006303B9">
        <w:rPr>
          <w:b/>
          <w:i/>
          <w:sz w:val="24"/>
        </w:rPr>
        <w:t xml:space="preserve"> of knowledge and understanding into different performance styles? </w:t>
      </w:r>
    </w:p>
    <w:p w14:paraId="74E182D1" w14:textId="3BCD8228" w:rsidR="004E1841" w:rsidRPr="002223FB" w:rsidRDefault="00D662B3" w:rsidP="00594CD7">
      <w:pPr>
        <w:jc w:val="both"/>
        <w:rPr>
          <w:sz w:val="24"/>
        </w:rPr>
      </w:pPr>
      <w:r>
        <w:rPr>
          <w:sz w:val="24"/>
        </w:rPr>
        <w:t xml:space="preserve">Then this </w:t>
      </w:r>
      <w:r w:rsidR="00D07C3C">
        <w:rPr>
          <w:sz w:val="24"/>
        </w:rPr>
        <w:t>q</w:t>
      </w:r>
      <w:r w:rsidR="005B09D4" w:rsidRPr="002223FB">
        <w:rPr>
          <w:sz w:val="24"/>
        </w:rPr>
        <w:t>ualification is the ideal course for you.</w:t>
      </w:r>
    </w:p>
    <w:p w14:paraId="74E182D2" w14:textId="24769756" w:rsidR="00C60654" w:rsidRPr="002223FB" w:rsidRDefault="005B09D4" w:rsidP="00594CD7">
      <w:pPr>
        <w:jc w:val="both"/>
        <w:rPr>
          <w:sz w:val="24"/>
        </w:rPr>
      </w:pPr>
      <w:r w:rsidRPr="002223FB">
        <w:rPr>
          <w:sz w:val="24"/>
        </w:rPr>
        <w:t xml:space="preserve">This two year </w:t>
      </w:r>
      <w:r w:rsidR="00F848A6" w:rsidRPr="002223FB">
        <w:rPr>
          <w:sz w:val="24"/>
        </w:rPr>
        <w:t>course will enable you to become a diverse performer through a variety of performance opportunities</w:t>
      </w:r>
      <w:r w:rsidR="00C60654" w:rsidRPr="002223FB">
        <w:rPr>
          <w:sz w:val="24"/>
        </w:rPr>
        <w:t>.</w:t>
      </w:r>
      <w:r w:rsidR="00F848A6" w:rsidRPr="002223FB">
        <w:rPr>
          <w:sz w:val="24"/>
        </w:rPr>
        <w:t xml:space="preserve"> </w:t>
      </w:r>
    </w:p>
    <w:p w14:paraId="74E182D3" w14:textId="7CCC7817" w:rsidR="00C60654" w:rsidRPr="002223FB" w:rsidRDefault="00C60654" w:rsidP="00594CD7">
      <w:pPr>
        <w:jc w:val="both"/>
        <w:rPr>
          <w:sz w:val="24"/>
        </w:rPr>
      </w:pPr>
      <w:r w:rsidRPr="002223FB">
        <w:rPr>
          <w:sz w:val="24"/>
        </w:rPr>
        <w:t xml:space="preserve">BTEC Nationals use a combination of assessment styles </w:t>
      </w:r>
      <w:r w:rsidR="00D07C3C">
        <w:rPr>
          <w:sz w:val="24"/>
        </w:rPr>
        <w:t>to give you confidence</w:t>
      </w:r>
      <w:r w:rsidR="006303B9">
        <w:rPr>
          <w:sz w:val="24"/>
        </w:rPr>
        <w:t xml:space="preserve"> to </w:t>
      </w:r>
      <w:r w:rsidR="00D07C3C">
        <w:rPr>
          <w:sz w:val="24"/>
        </w:rPr>
        <w:t>succeed in the workplace  and develop</w:t>
      </w:r>
      <w:r w:rsidRPr="002223FB">
        <w:rPr>
          <w:sz w:val="24"/>
        </w:rPr>
        <w:t xml:space="preserve"> the study skills to continue learning on higher educat</w:t>
      </w:r>
      <w:r w:rsidR="006303B9">
        <w:rPr>
          <w:sz w:val="24"/>
        </w:rPr>
        <w:t>ion courses and throughout your</w:t>
      </w:r>
      <w:r w:rsidRPr="002223FB">
        <w:rPr>
          <w:sz w:val="24"/>
        </w:rPr>
        <w:t xml:space="preserve"> c</w:t>
      </w:r>
      <w:r w:rsidR="00D07C3C">
        <w:rPr>
          <w:sz w:val="24"/>
        </w:rPr>
        <w:t xml:space="preserve">areer. All assessments are undertaken </w:t>
      </w:r>
      <w:r w:rsidR="00D662B3">
        <w:rPr>
          <w:sz w:val="24"/>
        </w:rPr>
        <w:t xml:space="preserve">within a vocational setting </w:t>
      </w:r>
      <w:r w:rsidRPr="002223FB">
        <w:rPr>
          <w:sz w:val="24"/>
        </w:rPr>
        <w:t>to giv</w:t>
      </w:r>
      <w:r w:rsidR="00D07C3C">
        <w:rPr>
          <w:sz w:val="24"/>
        </w:rPr>
        <w:t>e you first-hand experience of the performing arts i</w:t>
      </w:r>
      <w:r w:rsidRPr="002223FB">
        <w:rPr>
          <w:sz w:val="24"/>
        </w:rPr>
        <w:t>ndustry.</w:t>
      </w:r>
    </w:p>
    <w:p w14:paraId="74E182D4" w14:textId="7520C3A7" w:rsidR="00397CCF" w:rsidRDefault="00255201" w:rsidP="00594CD7">
      <w:pPr>
        <w:jc w:val="both"/>
        <w:rPr>
          <w:sz w:val="24"/>
        </w:rPr>
      </w:pPr>
      <w:r w:rsidRPr="002223FB">
        <w:rPr>
          <w:sz w:val="24"/>
        </w:rPr>
        <w:t xml:space="preserve">If you have any additional questions on the </w:t>
      </w:r>
      <w:r w:rsidR="006303B9">
        <w:rPr>
          <w:sz w:val="24"/>
        </w:rPr>
        <w:t xml:space="preserve">syllabus, then please contact </w:t>
      </w:r>
      <w:r w:rsidR="00D07C3C">
        <w:rPr>
          <w:sz w:val="24"/>
        </w:rPr>
        <w:t xml:space="preserve">Miss Clark </w:t>
      </w:r>
      <w:r w:rsidR="006303B9">
        <w:rPr>
          <w:sz w:val="24"/>
        </w:rPr>
        <w:t>on the following email address</w:t>
      </w:r>
      <w:r w:rsidR="00F95679">
        <w:rPr>
          <w:sz w:val="24"/>
        </w:rPr>
        <w:t xml:space="preserve">:  </w:t>
      </w:r>
    </w:p>
    <w:p w14:paraId="74E182D5" w14:textId="5DAA8852" w:rsidR="00397CCF" w:rsidRPr="002223FB" w:rsidRDefault="00F95679" w:rsidP="00594CD7">
      <w:pPr>
        <w:jc w:val="both"/>
        <w:rPr>
          <w:sz w:val="24"/>
        </w:rPr>
      </w:pPr>
      <w:hyperlink r:id="rId11" w:history="1">
        <w:r w:rsidR="00D07C3C" w:rsidRPr="00951D9B">
          <w:rPr>
            <w:rStyle w:val="Hyperlink"/>
            <w:sz w:val="24"/>
          </w:rPr>
          <w:t>jose.clark@georgesalter.com</w:t>
        </w:r>
      </w:hyperlink>
      <w:r w:rsidR="00594CD7" w:rsidRPr="002223FB">
        <w:rPr>
          <w:sz w:val="24"/>
        </w:rPr>
        <w:t xml:space="preserve"> </w:t>
      </w:r>
    </w:p>
    <w:p w14:paraId="4AA36470" w14:textId="77777777" w:rsidR="00A20203" w:rsidRDefault="00A20203" w:rsidP="00385C99">
      <w:pPr>
        <w:rPr>
          <w:b/>
          <w:sz w:val="24"/>
        </w:rPr>
      </w:pPr>
    </w:p>
    <w:p w14:paraId="3292A4C4" w14:textId="77777777" w:rsidR="00A20203" w:rsidRDefault="00A20203" w:rsidP="00385C99">
      <w:pPr>
        <w:rPr>
          <w:b/>
          <w:sz w:val="24"/>
        </w:rPr>
      </w:pPr>
    </w:p>
    <w:p w14:paraId="1256ED91" w14:textId="77777777" w:rsidR="00A20203" w:rsidRDefault="00A20203" w:rsidP="00385C99">
      <w:pPr>
        <w:rPr>
          <w:b/>
          <w:sz w:val="24"/>
        </w:rPr>
      </w:pPr>
    </w:p>
    <w:p w14:paraId="7B7D59AE" w14:textId="77777777" w:rsidR="00A20203" w:rsidRDefault="00A20203" w:rsidP="00385C99">
      <w:pPr>
        <w:rPr>
          <w:b/>
          <w:sz w:val="24"/>
        </w:rPr>
      </w:pPr>
    </w:p>
    <w:p w14:paraId="28F92205" w14:textId="77777777" w:rsidR="00A20203" w:rsidRDefault="00A20203" w:rsidP="00385C99">
      <w:pPr>
        <w:rPr>
          <w:b/>
          <w:sz w:val="24"/>
        </w:rPr>
      </w:pPr>
    </w:p>
    <w:p w14:paraId="68D9045A" w14:textId="77777777" w:rsidR="00A20203" w:rsidRDefault="00A20203" w:rsidP="00385C99">
      <w:pPr>
        <w:rPr>
          <w:b/>
          <w:sz w:val="24"/>
        </w:rPr>
      </w:pPr>
    </w:p>
    <w:p w14:paraId="6563DDB2" w14:textId="77777777" w:rsidR="00A20203" w:rsidRDefault="00A20203" w:rsidP="00385C99">
      <w:pPr>
        <w:rPr>
          <w:b/>
          <w:sz w:val="24"/>
        </w:rPr>
      </w:pPr>
    </w:p>
    <w:p w14:paraId="108F46EA" w14:textId="77777777" w:rsidR="00A20203" w:rsidRDefault="00A20203" w:rsidP="00385C99">
      <w:pPr>
        <w:rPr>
          <w:b/>
          <w:sz w:val="24"/>
        </w:rPr>
      </w:pPr>
    </w:p>
    <w:p w14:paraId="16BA2E52" w14:textId="77777777" w:rsidR="00A20203" w:rsidRDefault="00A20203" w:rsidP="00385C99">
      <w:pPr>
        <w:rPr>
          <w:b/>
          <w:sz w:val="24"/>
        </w:rPr>
      </w:pPr>
    </w:p>
    <w:p w14:paraId="493E6DF5" w14:textId="77777777" w:rsidR="00A20203" w:rsidRDefault="00A20203" w:rsidP="00385C99">
      <w:pPr>
        <w:rPr>
          <w:b/>
          <w:sz w:val="24"/>
        </w:rPr>
      </w:pPr>
    </w:p>
    <w:p w14:paraId="444D06A8" w14:textId="77777777" w:rsidR="00A20203" w:rsidRDefault="00A20203" w:rsidP="00385C99">
      <w:pPr>
        <w:rPr>
          <w:b/>
          <w:sz w:val="24"/>
        </w:rPr>
      </w:pPr>
    </w:p>
    <w:p w14:paraId="1490A346" w14:textId="77777777" w:rsidR="00A20203" w:rsidRDefault="00A20203" w:rsidP="00385C99">
      <w:pPr>
        <w:rPr>
          <w:b/>
          <w:sz w:val="24"/>
        </w:rPr>
      </w:pPr>
    </w:p>
    <w:p w14:paraId="6F6C37E6" w14:textId="77777777" w:rsidR="00A20203" w:rsidRDefault="00A20203" w:rsidP="00385C99">
      <w:pPr>
        <w:rPr>
          <w:b/>
          <w:sz w:val="24"/>
        </w:rPr>
      </w:pPr>
    </w:p>
    <w:p w14:paraId="6D967166" w14:textId="77777777" w:rsidR="00A20203" w:rsidRDefault="00A20203" w:rsidP="00385C99">
      <w:pPr>
        <w:rPr>
          <w:b/>
          <w:sz w:val="24"/>
        </w:rPr>
      </w:pPr>
    </w:p>
    <w:p w14:paraId="0F3B3C48" w14:textId="77777777" w:rsidR="00A20203" w:rsidRDefault="00A20203" w:rsidP="00385C99">
      <w:pPr>
        <w:rPr>
          <w:b/>
          <w:sz w:val="24"/>
        </w:rPr>
      </w:pPr>
    </w:p>
    <w:p w14:paraId="7396F9A3" w14:textId="77777777" w:rsidR="00D07C3C" w:rsidRDefault="00D07C3C" w:rsidP="00385C99">
      <w:pPr>
        <w:rPr>
          <w:b/>
          <w:sz w:val="24"/>
        </w:rPr>
      </w:pPr>
    </w:p>
    <w:p w14:paraId="4072E71B" w14:textId="77777777" w:rsidR="00F95679" w:rsidRDefault="00F95679" w:rsidP="00385C99">
      <w:pPr>
        <w:rPr>
          <w:b/>
          <w:sz w:val="24"/>
        </w:rPr>
      </w:pPr>
    </w:p>
    <w:p w14:paraId="74E182D6" w14:textId="04FEDD0D" w:rsidR="00385C99" w:rsidRPr="002223FB" w:rsidRDefault="001A40FB" w:rsidP="00385C99">
      <w:pPr>
        <w:rPr>
          <w:b/>
          <w:sz w:val="24"/>
        </w:rPr>
      </w:pPr>
      <w:bookmarkStart w:id="0" w:name="_GoBack"/>
      <w:bookmarkEnd w:id="0"/>
      <w:r w:rsidRPr="002223FB">
        <w:rPr>
          <w:b/>
          <w:sz w:val="24"/>
        </w:rPr>
        <w:lastRenderedPageBreak/>
        <w:t>Course Overview</w:t>
      </w:r>
      <w:r w:rsidR="00417815" w:rsidRPr="002223FB">
        <w:rPr>
          <w:b/>
          <w:sz w:val="24"/>
        </w:rPr>
        <w:t xml:space="preserve"> </w:t>
      </w:r>
    </w:p>
    <w:p w14:paraId="74E182D8" w14:textId="07AF2D68" w:rsidR="002223FB" w:rsidRDefault="00C60654" w:rsidP="00957BC4">
      <w:pPr>
        <w:rPr>
          <w:sz w:val="24"/>
        </w:rPr>
      </w:pPr>
      <w:r w:rsidRPr="002223FB">
        <w:rPr>
          <w:sz w:val="24"/>
        </w:rPr>
        <w:t xml:space="preserve">As you can see </w:t>
      </w:r>
      <w:r w:rsidR="002223FB" w:rsidRPr="002223FB">
        <w:rPr>
          <w:sz w:val="24"/>
        </w:rPr>
        <w:t>below. Within thi</w:t>
      </w:r>
      <w:r w:rsidR="00C02F0F">
        <w:rPr>
          <w:sz w:val="24"/>
        </w:rPr>
        <w:t>s qualification, there are choic</w:t>
      </w:r>
      <w:r w:rsidR="002223FB" w:rsidRPr="002223FB">
        <w:rPr>
          <w:sz w:val="24"/>
        </w:rPr>
        <w:t xml:space="preserve">es that can be made in terms of the units you can participate within. </w:t>
      </w:r>
      <w:r w:rsidRPr="002223FB">
        <w:rPr>
          <w:sz w:val="24"/>
        </w:rPr>
        <w:t xml:space="preserve"> </w:t>
      </w:r>
      <w:r w:rsidR="00D662B3">
        <w:rPr>
          <w:sz w:val="24"/>
        </w:rPr>
        <w:t>The six m</w:t>
      </w:r>
      <w:r w:rsidR="002223FB" w:rsidRPr="002223FB">
        <w:rPr>
          <w:sz w:val="24"/>
        </w:rPr>
        <w:t>andatory</w:t>
      </w:r>
      <w:r w:rsidR="00D662B3">
        <w:rPr>
          <w:sz w:val="24"/>
        </w:rPr>
        <w:t xml:space="preserve"> u</w:t>
      </w:r>
      <w:r w:rsidR="002223FB" w:rsidRPr="002223FB">
        <w:rPr>
          <w:sz w:val="24"/>
        </w:rPr>
        <w:t xml:space="preserve">nits are </w:t>
      </w:r>
      <w:r w:rsidR="00D662B3">
        <w:rPr>
          <w:sz w:val="24"/>
        </w:rPr>
        <w:t xml:space="preserve">as follows:  </w:t>
      </w:r>
    </w:p>
    <w:p w14:paraId="417227D9" w14:textId="53B24BAF" w:rsidR="00D662B3" w:rsidRPr="002223FB" w:rsidRDefault="00D662B3" w:rsidP="00957BC4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62B5BE82" wp14:editId="0755FF2D">
            <wp:extent cx="2570356" cy="120944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305" t="44966" r="33940" b="17490"/>
                    <a:stretch/>
                  </pic:blipFill>
                  <pic:spPr bwMode="auto">
                    <a:xfrm>
                      <a:off x="0" y="0"/>
                      <a:ext cx="2588212" cy="1217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182D9" w14:textId="425382EF" w:rsidR="00C60654" w:rsidRDefault="002223FB" w:rsidP="00957BC4">
      <w:pPr>
        <w:rPr>
          <w:sz w:val="24"/>
        </w:rPr>
      </w:pPr>
      <w:r w:rsidRPr="002223FB">
        <w:rPr>
          <w:sz w:val="24"/>
        </w:rPr>
        <w:t xml:space="preserve">Below are the </w:t>
      </w:r>
      <w:r w:rsidR="007E4ABA">
        <w:rPr>
          <w:sz w:val="24"/>
        </w:rPr>
        <w:t xml:space="preserve">examples of </w:t>
      </w:r>
      <w:r w:rsidRPr="002223FB">
        <w:rPr>
          <w:sz w:val="24"/>
        </w:rPr>
        <w:t>option choices for the remainder of the course. These will be selected by staff once the cohort is finalised.</w:t>
      </w:r>
    </w:p>
    <w:p w14:paraId="3AC22641" w14:textId="3C21A8EE" w:rsidR="007E4ABA" w:rsidRPr="007E4ABA" w:rsidRDefault="007E4ABA" w:rsidP="007E4ABA">
      <w:pPr>
        <w:pStyle w:val="ListParagraph"/>
        <w:numPr>
          <w:ilvl w:val="0"/>
          <w:numId w:val="9"/>
        </w:numPr>
        <w:rPr>
          <w:sz w:val="24"/>
        </w:rPr>
      </w:pPr>
      <w:r>
        <w:t>Jazz Dance Technique</w:t>
      </w:r>
    </w:p>
    <w:p w14:paraId="725A7C0A" w14:textId="16B6A37A" w:rsidR="007E4ABA" w:rsidRPr="007E4ABA" w:rsidRDefault="007E4ABA" w:rsidP="007E4ABA">
      <w:pPr>
        <w:pStyle w:val="ListParagraph"/>
        <w:numPr>
          <w:ilvl w:val="0"/>
          <w:numId w:val="9"/>
        </w:numPr>
        <w:rPr>
          <w:sz w:val="24"/>
        </w:rPr>
      </w:pPr>
      <w:r>
        <w:t>Street Dance Technique</w:t>
      </w:r>
    </w:p>
    <w:p w14:paraId="77AA3BEF" w14:textId="7440A7DF" w:rsidR="007E4ABA" w:rsidRDefault="007E4ABA" w:rsidP="007E4AB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Theatre Directing</w:t>
      </w:r>
    </w:p>
    <w:p w14:paraId="6F75074D" w14:textId="72E592CE" w:rsidR="007E4ABA" w:rsidRDefault="007E4ABA" w:rsidP="007E4AB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Acting Styles</w:t>
      </w:r>
    </w:p>
    <w:p w14:paraId="6C3DDC39" w14:textId="3A8E5681" w:rsidR="007E4ABA" w:rsidRDefault="007E4ABA" w:rsidP="007E4AB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Improvisation</w:t>
      </w:r>
    </w:p>
    <w:p w14:paraId="01996164" w14:textId="73A6FDE9" w:rsidR="007E4ABA" w:rsidRDefault="007E4ABA" w:rsidP="007E4AB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Children’s Theatre Performance</w:t>
      </w:r>
    </w:p>
    <w:p w14:paraId="01667790" w14:textId="3749AAC7" w:rsidR="007E4ABA" w:rsidRDefault="007E4ABA" w:rsidP="007E4AB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Musical Theatre Performance</w:t>
      </w:r>
    </w:p>
    <w:p w14:paraId="20296C09" w14:textId="34441EBC" w:rsidR="007E4ABA" w:rsidRDefault="007E4ABA" w:rsidP="007E4AB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Stand-up Comedy</w:t>
      </w:r>
    </w:p>
    <w:p w14:paraId="49C4626E" w14:textId="1ADE54C5" w:rsidR="00D07C3C" w:rsidRDefault="00D07C3C" w:rsidP="00D07C3C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Community Theatre</w:t>
      </w:r>
    </w:p>
    <w:p w14:paraId="5E66CCA0" w14:textId="7805391F" w:rsidR="00D07C3C" w:rsidRPr="00D07C3C" w:rsidRDefault="00D07C3C" w:rsidP="00D07C3C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Storytelling </w:t>
      </w:r>
    </w:p>
    <w:p w14:paraId="74E182DE" w14:textId="2A276706" w:rsidR="00C60654" w:rsidRPr="002223FB" w:rsidRDefault="00C60654" w:rsidP="00957BC4">
      <w:pPr>
        <w:rPr>
          <w:b/>
          <w:sz w:val="24"/>
        </w:rPr>
      </w:pPr>
    </w:p>
    <w:p w14:paraId="74E182DF" w14:textId="77777777" w:rsidR="00397CCF" w:rsidRPr="00DA79B6" w:rsidRDefault="006303B9" w:rsidP="00957BC4">
      <w:pPr>
        <w:rPr>
          <w:b/>
          <w:sz w:val="24"/>
          <w:szCs w:val="24"/>
        </w:rPr>
      </w:pPr>
      <w:r w:rsidRPr="00DA79B6">
        <w:rPr>
          <w:b/>
          <w:sz w:val="24"/>
          <w:szCs w:val="24"/>
        </w:rPr>
        <w:t>A</w:t>
      </w:r>
      <w:r w:rsidR="00397CCF" w:rsidRPr="00DA79B6">
        <w:rPr>
          <w:b/>
          <w:sz w:val="24"/>
          <w:szCs w:val="24"/>
        </w:rPr>
        <w:t>rticles to Read</w:t>
      </w:r>
    </w:p>
    <w:p w14:paraId="74E182E0" w14:textId="278E09CE" w:rsidR="00DA79B6" w:rsidRPr="00DA79B6" w:rsidRDefault="00DA79B6" w:rsidP="00DA79B6">
      <w:pPr>
        <w:pStyle w:val="Default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Textbooks</w:t>
      </w:r>
    </w:p>
    <w:p w14:paraId="74E182E1" w14:textId="77777777" w:rsidR="00DA79B6" w:rsidRPr="00DA79B6" w:rsidRDefault="00DA79B6" w:rsidP="00DA79B6">
      <w:pPr>
        <w:pStyle w:val="Default"/>
        <w:rPr>
          <w:b/>
          <w:bCs/>
          <w:sz w:val="18"/>
          <w:szCs w:val="20"/>
        </w:rPr>
      </w:pPr>
      <w:r w:rsidRPr="00DA79B6">
        <w:rPr>
          <w:b/>
          <w:bCs/>
          <w:sz w:val="18"/>
          <w:szCs w:val="20"/>
        </w:rPr>
        <w:t>(</w:t>
      </w:r>
      <w:r>
        <w:rPr>
          <w:b/>
          <w:bCs/>
          <w:sz w:val="18"/>
          <w:szCs w:val="20"/>
        </w:rPr>
        <w:t xml:space="preserve">Please do not buy any of these. </w:t>
      </w:r>
      <w:r w:rsidRPr="00DA79B6">
        <w:rPr>
          <w:b/>
          <w:bCs/>
          <w:sz w:val="18"/>
          <w:szCs w:val="20"/>
        </w:rPr>
        <w:t>Many pages of these can be read on Google Books for free</w:t>
      </w:r>
      <w:r>
        <w:rPr>
          <w:b/>
          <w:bCs/>
          <w:sz w:val="18"/>
          <w:szCs w:val="20"/>
        </w:rPr>
        <w:t xml:space="preserve"> or within your library</w:t>
      </w:r>
      <w:r w:rsidRPr="00DA79B6">
        <w:rPr>
          <w:b/>
          <w:bCs/>
          <w:sz w:val="18"/>
          <w:szCs w:val="20"/>
        </w:rPr>
        <w:t>).</w:t>
      </w:r>
    </w:p>
    <w:p w14:paraId="74E182E2" w14:textId="77777777" w:rsidR="00DA79B6" w:rsidRDefault="00DA79B6" w:rsidP="00DA79B6">
      <w:pPr>
        <w:pStyle w:val="Default"/>
        <w:rPr>
          <w:sz w:val="20"/>
          <w:szCs w:val="20"/>
        </w:rPr>
      </w:pPr>
    </w:p>
    <w:p w14:paraId="74E182E3" w14:textId="77777777" w:rsidR="00DA79B6" w:rsidRPr="00DA79B6" w:rsidRDefault="00DA79B6" w:rsidP="00DA79B6">
      <w:pPr>
        <w:pStyle w:val="Default"/>
        <w:rPr>
          <w:sz w:val="18"/>
          <w:szCs w:val="20"/>
        </w:rPr>
      </w:pPr>
      <w:r w:rsidRPr="00DA79B6">
        <w:rPr>
          <w:sz w:val="18"/>
          <w:szCs w:val="20"/>
        </w:rPr>
        <w:t xml:space="preserve">Ashley, L., </w:t>
      </w:r>
      <w:r w:rsidRPr="00DA79B6">
        <w:rPr>
          <w:i/>
          <w:iCs/>
          <w:sz w:val="18"/>
          <w:szCs w:val="20"/>
        </w:rPr>
        <w:t xml:space="preserve">Essential Guide to Dance </w:t>
      </w:r>
      <w:r w:rsidRPr="00DA79B6">
        <w:rPr>
          <w:sz w:val="18"/>
          <w:szCs w:val="20"/>
        </w:rPr>
        <w:t xml:space="preserve">(3rd Edition), Hodder Education, 2008, ISBN 978-0-340-96838-3 Useful guide for both learners and tutors; this is highly useful to this induction unit, including choreography, anatomy, staging and performance. </w:t>
      </w:r>
    </w:p>
    <w:p w14:paraId="74E182E4" w14:textId="77777777" w:rsidR="00DA79B6" w:rsidRPr="00DA79B6" w:rsidRDefault="00DA79B6" w:rsidP="00DA79B6">
      <w:pPr>
        <w:pStyle w:val="Default"/>
        <w:rPr>
          <w:sz w:val="18"/>
          <w:szCs w:val="20"/>
        </w:rPr>
      </w:pPr>
    </w:p>
    <w:p w14:paraId="74E182E5" w14:textId="77777777" w:rsidR="00DA79B6" w:rsidRPr="00DA79B6" w:rsidRDefault="00DA79B6" w:rsidP="00DA79B6">
      <w:pPr>
        <w:pStyle w:val="Default"/>
        <w:rPr>
          <w:sz w:val="18"/>
          <w:szCs w:val="20"/>
        </w:rPr>
      </w:pPr>
      <w:r w:rsidRPr="00DA79B6">
        <w:rPr>
          <w:sz w:val="18"/>
          <w:szCs w:val="20"/>
        </w:rPr>
        <w:t xml:space="preserve">Berry, C. </w:t>
      </w:r>
      <w:r w:rsidRPr="00DA79B6">
        <w:rPr>
          <w:i/>
          <w:iCs/>
          <w:sz w:val="18"/>
          <w:szCs w:val="20"/>
        </w:rPr>
        <w:t xml:space="preserve">Voice and the Actor, </w:t>
      </w:r>
      <w:r w:rsidRPr="00DA79B6">
        <w:rPr>
          <w:sz w:val="18"/>
          <w:szCs w:val="20"/>
        </w:rPr>
        <w:t xml:space="preserve">Jossey Bass; New Ed edition, 1991, ISBN 978-0-0204-1555-8 Comprehensive and accessible guide to voice training containing exercises and techniques covering relaxation, breathing and voice control. </w:t>
      </w:r>
    </w:p>
    <w:p w14:paraId="74E182E6" w14:textId="77777777" w:rsidR="00DA79B6" w:rsidRPr="00DA79B6" w:rsidRDefault="00DA79B6" w:rsidP="00DA79B6">
      <w:pPr>
        <w:pStyle w:val="Default"/>
        <w:rPr>
          <w:sz w:val="18"/>
          <w:szCs w:val="20"/>
        </w:rPr>
      </w:pPr>
    </w:p>
    <w:p w14:paraId="74E182E7" w14:textId="77777777" w:rsidR="00DA79B6" w:rsidRPr="00DA79B6" w:rsidRDefault="00DA79B6" w:rsidP="00DA79B6">
      <w:pPr>
        <w:pStyle w:val="Default"/>
        <w:rPr>
          <w:sz w:val="18"/>
          <w:szCs w:val="20"/>
        </w:rPr>
      </w:pPr>
      <w:r w:rsidRPr="00DA79B6">
        <w:rPr>
          <w:sz w:val="18"/>
          <w:szCs w:val="20"/>
        </w:rPr>
        <w:t xml:space="preserve">Callery, D., </w:t>
      </w:r>
      <w:r w:rsidRPr="00DA79B6">
        <w:rPr>
          <w:i/>
          <w:iCs/>
          <w:sz w:val="18"/>
          <w:szCs w:val="20"/>
        </w:rPr>
        <w:t>Through the Body: A Practical Guide to Physical Theatre</w:t>
      </w:r>
      <w:r w:rsidRPr="00DA79B6">
        <w:rPr>
          <w:sz w:val="18"/>
          <w:szCs w:val="20"/>
        </w:rPr>
        <w:t xml:space="preserve">, Nick Hern Books, 2001, ISBN 978-1-8545-9630-7 Contains information and workshop ideas based on the work of key physical theatre practitioners, with exercises to develop performance skills. </w:t>
      </w:r>
    </w:p>
    <w:p w14:paraId="74E182E8" w14:textId="77777777" w:rsidR="00DA79B6" w:rsidRPr="00DA79B6" w:rsidRDefault="00DA79B6" w:rsidP="00DA79B6">
      <w:pPr>
        <w:pStyle w:val="Default"/>
        <w:rPr>
          <w:sz w:val="18"/>
          <w:szCs w:val="20"/>
        </w:rPr>
      </w:pPr>
    </w:p>
    <w:p w14:paraId="74E182E9" w14:textId="77777777" w:rsidR="00DA79B6" w:rsidRPr="00DA79B6" w:rsidRDefault="00DA79B6" w:rsidP="00DA79B6">
      <w:pPr>
        <w:pStyle w:val="Default"/>
        <w:rPr>
          <w:sz w:val="18"/>
          <w:szCs w:val="20"/>
        </w:rPr>
      </w:pPr>
      <w:r w:rsidRPr="00DA79B6">
        <w:rPr>
          <w:sz w:val="18"/>
          <w:szCs w:val="20"/>
        </w:rPr>
        <w:t xml:space="preserve">Fredman, R., Reade, I., </w:t>
      </w:r>
      <w:r w:rsidRPr="00DA79B6">
        <w:rPr>
          <w:i/>
          <w:iCs/>
          <w:sz w:val="18"/>
          <w:szCs w:val="20"/>
        </w:rPr>
        <w:t>Essential Guide to Making Theatre (Essential Guides for GNVQ Performing Arts)</w:t>
      </w:r>
      <w:r w:rsidRPr="00DA79B6">
        <w:rPr>
          <w:sz w:val="18"/>
          <w:szCs w:val="20"/>
        </w:rPr>
        <w:t xml:space="preserve">, Hodder Education, 1996, ISBN 978-0-340-655140-6 Useful guide for both learner and tutors including practical information and practical activities covering a range of acting styles and contexts. </w:t>
      </w:r>
    </w:p>
    <w:p w14:paraId="74E182EA" w14:textId="77777777" w:rsidR="00DA79B6" w:rsidRPr="00DA79B6" w:rsidRDefault="00DA79B6" w:rsidP="00DA79B6">
      <w:pPr>
        <w:pStyle w:val="Default"/>
        <w:rPr>
          <w:sz w:val="18"/>
          <w:szCs w:val="20"/>
        </w:rPr>
      </w:pPr>
    </w:p>
    <w:p w14:paraId="74E182EB" w14:textId="77777777" w:rsidR="00DA79B6" w:rsidRPr="00DA79B6" w:rsidRDefault="00DA79B6" w:rsidP="00DA79B6">
      <w:pPr>
        <w:pStyle w:val="Default"/>
        <w:rPr>
          <w:sz w:val="18"/>
          <w:szCs w:val="20"/>
        </w:rPr>
      </w:pPr>
      <w:r w:rsidRPr="00DA79B6">
        <w:rPr>
          <w:sz w:val="18"/>
          <w:szCs w:val="20"/>
        </w:rPr>
        <w:t xml:space="preserve">Ostwald, D.F., </w:t>
      </w:r>
      <w:r w:rsidRPr="00DA79B6">
        <w:rPr>
          <w:i/>
          <w:iCs/>
          <w:sz w:val="18"/>
          <w:szCs w:val="20"/>
        </w:rPr>
        <w:t>Acting for Singers: Creating Believable Singing Characters</w:t>
      </w:r>
      <w:r w:rsidRPr="00DA79B6">
        <w:rPr>
          <w:sz w:val="18"/>
          <w:szCs w:val="20"/>
        </w:rPr>
        <w:t xml:space="preserve">, 1st Edition OUP USA, 2005, ISBN 978-0-195-14540-3 Contains guidance on professional development as well as exercises and techniques to interpret script/libretto and rehearse to develop characters in musical performance. </w:t>
      </w:r>
    </w:p>
    <w:p w14:paraId="74E182EC" w14:textId="77777777" w:rsidR="00DA79B6" w:rsidRDefault="00DA79B6" w:rsidP="00DA79B6">
      <w:pPr>
        <w:pStyle w:val="Default"/>
        <w:rPr>
          <w:b/>
          <w:bCs/>
          <w:sz w:val="20"/>
          <w:szCs w:val="20"/>
        </w:rPr>
      </w:pPr>
    </w:p>
    <w:p w14:paraId="5609C5F8" w14:textId="77777777" w:rsidR="00D662B3" w:rsidRDefault="00D662B3" w:rsidP="00DA79B6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1C4A32F6" w14:textId="77777777" w:rsidR="00D662B3" w:rsidRDefault="00D662B3" w:rsidP="00DA79B6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C5277C1" w14:textId="77777777" w:rsidR="00C02F0F" w:rsidRDefault="00C02F0F" w:rsidP="00DA79B6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72C2A549" w14:textId="77777777" w:rsidR="00C02F0F" w:rsidRDefault="00C02F0F" w:rsidP="00DA79B6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74E182ED" w14:textId="033065EB" w:rsidR="00DA79B6" w:rsidRPr="00DA79B6" w:rsidRDefault="00DA79B6" w:rsidP="00DA79B6">
      <w:pPr>
        <w:pStyle w:val="Default"/>
        <w:rPr>
          <w:rFonts w:asciiTheme="minorHAnsi" w:hAnsiTheme="minorHAnsi"/>
          <w:sz w:val="20"/>
          <w:szCs w:val="20"/>
        </w:rPr>
      </w:pPr>
      <w:r w:rsidRPr="00DA79B6">
        <w:rPr>
          <w:rFonts w:asciiTheme="minorHAnsi" w:hAnsiTheme="minorHAnsi"/>
          <w:b/>
          <w:bCs/>
          <w:sz w:val="20"/>
          <w:szCs w:val="20"/>
        </w:rPr>
        <w:lastRenderedPageBreak/>
        <w:t xml:space="preserve">Journals </w:t>
      </w:r>
    </w:p>
    <w:p w14:paraId="74E182EE" w14:textId="77777777" w:rsidR="00DA79B6" w:rsidRPr="00DA79B6" w:rsidRDefault="00DA79B6" w:rsidP="00DA79B6">
      <w:pPr>
        <w:pStyle w:val="Default"/>
        <w:rPr>
          <w:rFonts w:asciiTheme="minorHAnsi" w:hAnsiTheme="minorHAnsi"/>
          <w:sz w:val="20"/>
          <w:szCs w:val="20"/>
        </w:rPr>
      </w:pPr>
      <w:r w:rsidRPr="00DA79B6">
        <w:rPr>
          <w:rFonts w:asciiTheme="minorHAnsi" w:hAnsiTheme="minorHAnsi"/>
          <w:i/>
          <w:iCs/>
          <w:sz w:val="20"/>
          <w:szCs w:val="20"/>
        </w:rPr>
        <w:t xml:space="preserve">Actors and Performers Yearbook </w:t>
      </w:r>
      <w:r w:rsidRPr="00DA79B6">
        <w:rPr>
          <w:rFonts w:asciiTheme="minorHAnsi" w:hAnsiTheme="minorHAnsi"/>
          <w:sz w:val="20"/>
          <w:szCs w:val="20"/>
        </w:rPr>
        <w:t xml:space="preserve">(Bloomsbury Publishing) Yearly publication listing agencies and career opportunities with advice on finding work, establishing contacts and networking. </w:t>
      </w:r>
    </w:p>
    <w:p w14:paraId="74E182EF" w14:textId="77777777" w:rsidR="00DA79B6" w:rsidRPr="00DA79B6" w:rsidRDefault="00DA79B6" w:rsidP="00DA79B6">
      <w:pPr>
        <w:pStyle w:val="Default"/>
        <w:rPr>
          <w:rFonts w:asciiTheme="minorHAnsi" w:hAnsiTheme="minorHAnsi"/>
          <w:sz w:val="20"/>
          <w:szCs w:val="20"/>
        </w:rPr>
      </w:pPr>
    </w:p>
    <w:p w14:paraId="74E182F0" w14:textId="77777777" w:rsidR="00044575" w:rsidRPr="00DA79B6" w:rsidRDefault="00DA79B6" w:rsidP="00DA79B6">
      <w:pPr>
        <w:rPr>
          <w:sz w:val="20"/>
          <w:szCs w:val="20"/>
        </w:rPr>
      </w:pPr>
      <w:r w:rsidRPr="00DA79B6">
        <w:rPr>
          <w:i/>
          <w:iCs/>
          <w:sz w:val="20"/>
          <w:szCs w:val="20"/>
        </w:rPr>
        <w:t xml:space="preserve">The Stage </w:t>
      </w:r>
      <w:r w:rsidRPr="00DA79B6">
        <w:rPr>
          <w:sz w:val="20"/>
          <w:szCs w:val="20"/>
        </w:rPr>
        <w:t>(The Stage Media Company Ltd) Weekly publication featuring news, reviews, interviews, also contains job advertisements, career and professional development advice.</w:t>
      </w:r>
    </w:p>
    <w:p w14:paraId="74E182F1" w14:textId="77777777" w:rsidR="00DA79B6" w:rsidRPr="00DA79B6" w:rsidRDefault="00DA79B6" w:rsidP="00DA79B6">
      <w:pPr>
        <w:pStyle w:val="Default"/>
        <w:rPr>
          <w:rFonts w:asciiTheme="minorHAnsi" w:hAnsiTheme="minorHAnsi"/>
          <w:sz w:val="20"/>
          <w:szCs w:val="20"/>
        </w:rPr>
      </w:pPr>
      <w:r w:rsidRPr="00DA79B6">
        <w:rPr>
          <w:rFonts w:asciiTheme="minorHAnsi" w:hAnsiTheme="minorHAnsi"/>
          <w:b/>
          <w:bCs/>
          <w:sz w:val="20"/>
          <w:szCs w:val="20"/>
        </w:rPr>
        <w:t xml:space="preserve">Websites </w:t>
      </w:r>
    </w:p>
    <w:p w14:paraId="74E182F2" w14:textId="77777777" w:rsidR="00DA79B6" w:rsidRPr="00DA79B6" w:rsidRDefault="00DA79B6" w:rsidP="00DA79B6">
      <w:pPr>
        <w:pStyle w:val="Default"/>
        <w:rPr>
          <w:rFonts w:asciiTheme="minorHAnsi" w:hAnsiTheme="minorHAnsi"/>
          <w:sz w:val="20"/>
          <w:szCs w:val="20"/>
        </w:rPr>
      </w:pPr>
      <w:r w:rsidRPr="00DA79B6">
        <w:rPr>
          <w:rFonts w:asciiTheme="minorHAnsi" w:hAnsiTheme="minorHAnsi"/>
          <w:sz w:val="20"/>
          <w:szCs w:val="20"/>
          <w:u w:val="single"/>
        </w:rPr>
        <w:t xml:space="preserve">www.dance.about.com </w:t>
      </w:r>
      <w:r w:rsidRPr="00DA79B6">
        <w:rPr>
          <w:rFonts w:asciiTheme="minorHAnsi" w:hAnsiTheme="minorHAnsi"/>
          <w:sz w:val="20"/>
          <w:szCs w:val="20"/>
        </w:rPr>
        <w:t xml:space="preserve">Information and useful guidance and definitions covering all dance styles. </w:t>
      </w:r>
    </w:p>
    <w:p w14:paraId="74E182F3" w14:textId="77777777" w:rsidR="00DA79B6" w:rsidRPr="00DA79B6" w:rsidRDefault="00DA79B6" w:rsidP="00DA79B6">
      <w:pPr>
        <w:pStyle w:val="Default"/>
        <w:rPr>
          <w:rFonts w:asciiTheme="minorHAnsi" w:hAnsiTheme="minorHAnsi"/>
          <w:sz w:val="20"/>
          <w:szCs w:val="20"/>
        </w:rPr>
      </w:pPr>
      <w:r w:rsidRPr="00DA79B6">
        <w:rPr>
          <w:rFonts w:asciiTheme="minorHAnsi" w:hAnsiTheme="minorHAnsi"/>
          <w:sz w:val="20"/>
          <w:szCs w:val="20"/>
          <w:u w:val="single"/>
        </w:rPr>
        <w:t xml:space="preserve">www.digitaltheatreplus.com </w:t>
      </w:r>
      <w:r w:rsidRPr="00DA79B6">
        <w:rPr>
          <w:rFonts w:asciiTheme="minorHAnsi" w:hAnsiTheme="minorHAnsi"/>
          <w:sz w:val="20"/>
          <w:szCs w:val="20"/>
        </w:rPr>
        <w:t xml:space="preserve">Subscription-based resource include teaching materials, interviews with performers and production personnel detailing the making of theatre, study guides and recordings of a range of productions. </w:t>
      </w:r>
    </w:p>
    <w:p w14:paraId="74E182F4" w14:textId="6DB72A39" w:rsidR="00DA79B6" w:rsidRPr="00DA79B6" w:rsidRDefault="00DA79B6" w:rsidP="00DA79B6">
      <w:pPr>
        <w:pStyle w:val="Default"/>
        <w:rPr>
          <w:rFonts w:asciiTheme="minorHAnsi" w:hAnsiTheme="minorHAnsi"/>
          <w:sz w:val="20"/>
          <w:szCs w:val="20"/>
        </w:rPr>
      </w:pPr>
      <w:r w:rsidRPr="00DA79B6">
        <w:rPr>
          <w:rFonts w:asciiTheme="minorHAnsi" w:hAnsiTheme="minorHAnsi"/>
          <w:sz w:val="20"/>
          <w:szCs w:val="20"/>
          <w:u w:val="single"/>
        </w:rPr>
        <w:t xml:space="preserve">www.nationaltheatre.org.uk/discover-more </w:t>
      </w:r>
      <w:r w:rsidRPr="00DA79B6">
        <w:rPr>
          <w:rFonts w:asciiTheme="minorHAnsi" w:hAnsiTheme="minorHAnsi"/>
          <w:sz w:val="20"/>
          <w:szCs w:val="20"/>
        </w:rPr>
        <w:t xml:space="preserve">(Royal National Theatre) Information regarding current and past productions at the National Theatre and includes a video library resource covering a range of topics on the making of theatre with interviews, extracts from rehearsals, performing and staging techniques, etc. </w:t>
      </w:r>
    </w:p>
    <w:p w14:paraId="74E182F5" w14:textId="77777777" w:rsidR="00DA79B6" w:rsidRPr="00DA79B6" w:rsidRDefault="00DA79B6" w:rsidP="00DA79B6">
      <w:pPr>
        <w:pStyle w:val="Default"/>
        <w:rPr>
          <w:rFonts w:asciiTheme="minorHAnsi" w:hAnsiTheme="minorHAnsi"/>
          <w:sz w:val="20"/>
          <w:szCs w:val="20"/>
        </w:rPr>
      </w:pPr>
      <w:r w:rsidRPr="00DA79B6">
        <w:rPr>
          <w:rFonts w:asciiTheme="minorHAnsi" w:hAnsiTheme="minorHAnsi"/>
          <w:sz w:val="20"/>
          <w:szCs w:val="20"/>
          <w:u w:val="single"/>
        </w:rPr>
        <w:t xml:space="preserve">www.prospects.ac.uk </w:t>
      </w:r>
      <w:r w:rsidRPr="00DA79B6">
        <w:rPr>
          <w:rFonts w:asciiTheme="minorHAnsi" w:hAnsiTheme="minorHAnsi"/>
          <w:sz w:val="20"/>
          <w:szCs w:val="20"/>
        </w:rPr>
        <w:t xml:space="preserve">Careers website containing job descriptions for performing arts roles, with information on salaries, training, etc. </w:t>
      </w:r>
    </w:p>
    <w:p w14:paraId="74E182F6" w14:textId="77777777" w:rsidR="00DA79B6" w:rsidRPr="00DA79B6" w:rsidRDefault="00DA79B6" w:rsidP="00DA79B6">
      <w:pPr>
        <w:pStyle w:val="Default"/>
        <w:rPr>
          <w:rFonts w:asciiTheme="minorHAnsi" w:hAnsiTheme="minorHAnsi"/>
          <w:sz w:val="20"/>
          <w:szCs w:val="20"/>
        </w:rPr>
      </w:pPr>
      <w:r w:rsidRPr="00DA79B6">
        <w:rPr>
          <w:rFonts w:asciiTheme="minorHAnsi" w:hAnsiTheme="minorHAnsi"/>
          <w:sz w:val="20"/>
          <w:szCs w:val="20"/>
          <w:u w:val="single"/>
        </w:rPr>
        <w:t xml:space="preserve">www.rsc.org.uk </w:t>
      </w:r>
      <w:r w:rsidRPr="00DA79B6">
        <w:rPr>
          <w:rFonts w:asciiTheme="minorHAnsi" w:hAnsiTheme="minorHAnsi"/>
          <w:sz w:val="20"/>
          <w:szCs w:val="20"/>
        </w:rPr>
        <w:t xml:space="preserve">(The Royal Shakespeare Company) Resources and content linked to RSC productions of all Shakespeare’s plays and includes tutor and learner resource packs, video clips of key scenes and tutor notes. </w:t>
      </w:r>
    </w:p>
    <w:p w14:paraId="74E182F7" w14:textId="77777777" w:rsidR="00DA79B6" w:rsidRPr="00DA79B6" w:rsidRDefault="00DA79B6" w:rsidP="00DA79B6">
      <w:pPr>
        <w:pStyle w:val="Default"/>
        <w:rPr>
          <w:rFonts w:asciiTheme="minorHAnsi" w:hAnsiTheme="minorHAnsi"/>
          <w:sz w:val="20"/>
          <w:szCs w:val="20"/>
        </w:rPr>
      </w:pPr>
      <w:r w:rsidRPr="00DA79B6">
        <w:rPr>
          <w:rFonts w:asciiTheme="minorHAnsi" w:hAnsiTheme="minorHAnsi"/>
          <w:sz w:val="20"/>
          <w:szCs w:val="20"/>
          <w:u w:val="single"/>
        </w:rPr>
        <w:t xml:space="preserve">www.thestage.co.uk </w:t>
      </w:r>
      <w:r w:rsidRPr="00DA79B6">
        <w:rPr>
          <w:rFonts w:asciiTheme="minorHAnsi" w:hAnsiTheme="minorHAnsi"/>
          <w:sz w:val="20"/>
          <w:szCs w:val="20"/>
        </w:rPr>
        <w:t xml:space="preserve">(The Stage) Online version of the printed journal, features news, reviews, interviews. This also contains job advertisements, career and professional development advice. </w:t>
      </w:r>
    </w:p>
    <w:p w14:paraId="74E182F9" w14:textId="35171A21" w:rsidR="00DA79B6" w:rsidRPr="00D662B3" w:rsidRDefault="00DA79B6">
      <w:pPr>
        <w:rPr>
          <w:b/>
          <w:sz w:val="24"/>
          <w:szCs w:val="24"/>
        </w:rPr>
      </w:pPr>
      <w:r w:rsidRPr="00DA79B6">
        <w:rPr>
          <w:sz w:val="20"/>
          <w:szCs w:val="20"/>
          <w:u w:val="single"/>
        </w:rPr>
        <w:t xml:space="preserve">www.ukperformingarts.co.uk </w:t>
      </w:r>
      <w:r w:rsidRPr="00DA79B6">
        <w:rPr>
          <w:sz w:val="20"/>
          <w:szCs w:val="20"/>
        </w:rPr>
        <w:t>(The Prince Partnership) Directory of places to train and work in the performing arts industry and contains articles and advice related to specific performing arts job roles.</w:t>
      </w:r>
    </w:p>
    <w:p w14:paraId="74E182FA" w14:textId="77777777" w:rsidR="004E1841" w:rsidRPr="00DA79B6" w:rsidRDefault="00DA79B6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Summer Activity</w:t>
      </w:r>
      <w:r w:rsidRPr="00DA79B6">
        <w:rPr>
          <w:b/>
          <w:sz w:val="28"/>
          <w:szCs w:val="28"/>
          <w:u w:val="single"/>
        </w:rPr>
        <w:t>- Due in your first lesson in September</w:t>
      </w:r>
    </w:p>
    <w:p w14:paraId="74E182FB" w14:textId="77777777" w:rsidR="00F23C46" w:rsidRPr="00DA79B6" w:rsidRDefault="00F23C46" w:rsidP="00F23C46">
      <w:pPr>
        <w:spacing w:line="240" w:lineRule="auto"/>
        <w:jc w:val="both"/>
        <w:rPr>
          <w:sz w:val="24"/>
          <w:szCs w:val="24"/>
        </w:rPr>
      </w:pPr>
      <w:r w:rsidRPr="00DA79B6">
        <w:rPr>
          <w:sz w:val="24"/>
          <w:szCs w:val="24"/>
        </w:rPr>
        <w:t xml:space="preserve">Create a portfolio </w:t>
      </w:r>
      <w:r w:rsidR="00E9751C" w:rsidRPr="00DA79B6">
        <w:rPr>
          <w:sz w:val="24"/>
          <w:szCs w:val="24"/>
        </w:rPr>
        <w:t xml:space="preserve">of </w:t>
      </w:r>
      <w:r w:rsidR="00E9751C" w:rsidRPr="00DA79B6">
        <w:rPr>
          <w:b/>
          <w:sz w:val="24"/>
          <w:szCs w:val="24"/>
        </w:rPr>
        <w:t>1000 words</w:t>
      </w:r>
      <w:r w:rsidR="00E9751C" w:rsidRPr="00DA79B6">
        <w:rPr>
          <w:sz w:val="24"/>
          <w:szCs w:val="24"/>
        </w:rPr>
        <w:t xml:space="preserve"> </w:t>
      </w:r>
      <w:r w:rsidR="00DA79B6" w:rsidRPr="00DA79B6">
        <w:rPr>
          <w:sz w:val="24"/>
          <w:szCs w:val="24"/>
        </w:rPr>
        <w:t xml:space="preserve">or a </w:t>
      </w:r>
      <w:r w:rsidR="00DA79B6" w:rsidRPr="00DA79B6">
        <w:rPr>
          <w:b/>
          <w:sz w:val="24"/>
          <w:szCs w:val="24"/>
        </w:rPr>
        <w:t>detailed PowerPoint</w:t>
      </w:r>
      <w:r w:rsidR="00DA79B6" w:rsidRPr="00DA79B6">
        <w:rPr>
          <w:sz w:val="24"/>
          <w:szCs w:val="24"/>
        </w:rPr>
        <w:t xml:space="preserve"> </w:t>
      </w:r>
      <w:r w:rsidRPr="00DA79B6">
        <w:rPr>
          <w:sz w:val="24"/>
          <w:szCs w:val="24"/>
        </w:rPr>
        <w:t xml:space="preserve">about the </w:t>
      </w:r>
      <w:r w:rsidR="00DA79B6" w:rsidRPr="00DA79B6">
        <w:rPr>
          <w:sz w:val="24"/>
          <w:szCs w:val="24"/>
        </w:rPr>
        <w:t>roles and skills of a performer.</w:t>
      </w:r>
    </w:p>
    <w:p w14:paraId="74E182FC" w14:textId="77777777" w:rsidR="00DA79B6" w:rsidRDefault="00DA79B6" w:rsidP="00F23C46">
      <w:pPr>
        <w:spacing w:line="240" w:lineRule="auto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Within this you should demonstrate your knowledge and understanding of the roles and skills of a performer with reference to examples of disciplines, such as acting, dance and singing.</w:t>
      </w:r>
      <w:r>
        <w:rPr>
          <w:sz w:val="24"/>
          <w:szCs w:val="24"/>
        </w:rPr>
        <w:t xml:space="preserve"> You should ensure that your work is analytical and evaluative throughout.</w:t>
      </w:r>
    </w:p>
    <w:p w14:paraId="74E182FD" w14:textId="77777777" w:rsidR="00DA79B6" w:rsidRPr="00DA79B6" w:rsidRDefault="00DA79B6" w:rsidP="00DA79B6">
      <w:pPr>
        <w:spacing w:line="240" w:lineRule="auto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You should include:</w:t>
      </w:r>
    </w:p>
    <w:p w14:paraId="74E182FE" w14:textId="77777777" w:rsidR="00DA79B6" w:rsidRPr="00DA79B6" w:rsidRDefault="00DA79B6" w:rsidP="00DA79B6">
      <w:pPr>
        <w:spacing w:line="240" w:lineRule="auto"/>
        <w:ind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 xml:space="preserve"> Performance roles, such as:</w:t>
      </w:r>
    </w:p>
    <w:p w14:paraId="74E182FF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actor</w:t>
      </w:r>
    </w:p>
    <w:p w14:paraId="74E18300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dancer</w:t>
      </w:r>
    </w:p>
    <w:p w14:paraId="74E18301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musical theatre performer</w:t>
      </w:r>
    </w:p>
    <w:p w14:paraId="74E18302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performance artist.</w:t>
      </w:r>
    </w:p>
    <w:p w14:paraId="74E18303" w14:textId="77777777" w:rsidR="00DA79B6" w:rsidRPr="00DA79B6" w:rsidRDefault="00DA79B6" w:rsidP="00DA79B6">
      <w:pPr>
        <w:pStyle w:val="ListParagraph"/>
        <w:spacing w:line="240" w:lineRule="auto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Interrelationship with other roles in performance practice, e.g. other performers,</w:t>
      </w:r>
    </w:p>
    <w:p w14:paraId="74E18304" w14:textId="77777777" w:rsidR="00DA79B6" w:rsidRPr="00DA79B6" w:rsidRDefault="00DA79B6" w:rsidP="00DA79B6">
      <w:pPr>
        <w:spacing w:line="240" w:lineRule="auto"/>
        <w:ind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directors, choreographers. (Who do each of these roles work alongside?)</w:t>
      </w:r>
    </w:p>
    <w:p w14:paraId="74E18305" w14:textId="77777777" w:rsidR="00DA79B6" w:rsidRPr="00DA79B6" w:rsidRDefault="00DA79B6" w:rsidP="00DA79B6">
      <w:pPr>
        <w:pStyle w:val="ListParagraph"/>
        <w:spacing w:line="240" w:lineRule="auto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Formal training qualifications and progression routes.</w:t>
      </w:r>
    </w:p>
    <w:p w14:paraId="74E18306" w14:textId="77777777" w:rsidR="00DA79B6" w:rsidRPr="00DA79B6" w:rsidRDefault="00DA79B6" w:rsidP="00DA79B6">
      <w:pPr>
        <w:pStyle w:val="ListParagraph"/>
        <w:spacing w:line="240" w:lineRule="auto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Employment opportunities and trends.</w:t>
      </w:r>
    </w:p>
    <w:p w14:paraId="74E18307" w14:textId="77777777" w:rsidR="00DA79B6" w:rsidRPr="00DA79B6" w:rsidRDefault="00DA79B6" w:rsidP="00DA79B6">
      <w:pPr>
        <w:pStyle w:val="ListParagraph"/>
        <w:spacing w:line="240" w:lineRule="auto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Working conditions.</w:t>
      </w:r>
    </w:p>
    <w:p w14:paraId="74E18308" w14:textId="77777777" w:rsidR="00DA79B6" w:rsidRPr="00DA79B6" w:rsidRDefault="00DA79B6" w:rsidP="00DA79B6">
      <w:pPr>
        <w:pStyle w:val="ListParagraph"/>
        <w:spacing w:line="240" w:lineRule="auto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Lifestyle factors.</w:t>
      </w:r>
    </w:p>
    <w:p w14:paraId="6BB18E49" w14:textId="77777777" w:rsidR="00D662B3" w:rsidRDefault="00D662B3" w:rsidP="00DA79B6">
      <w:pPr>
        <w:spacing w:line="240" w:lineRule="auto"/>
        <w:ind w:firstLine="720"/>
        <w:jc w:val="both"/>
        <w:rPr>
          <w:sz w:val="24"/>
          <w:szCs w:val="24"/>
        </w:rPr>
      </w:pPr>
    </w:p>
    <w:p w14:paraId="2B3133CC" w14:textId="77777777" w:rsidR="00D662B3" w:rsidRDefault="00D662B3" w:rsidP="00DA79B6">
      <w:pPr>
        <w:spacing w:line="240" w:lineRule="auto"/>
        <w:ind w:firstLine="720"/>
        <w:jc w:val="both"/>
        <w:rPr>
          <w:sz w:val="24"/>
          <w:szCs w:val="24"/>
        </w:rPr>
      </w:pPr>
    </w:p>
    <w:p w14:paraId="4EBC971F" w14:textId="77777777" w:rsidR="00D662B3" w:rsidRDefault="00D662B3" w:rsidP="00DA79B6">
      <w:pPr>
        <w:spacing w:line="240" w:lineRule="auto"/>
        <w:ind w:firstLine="720"/>
        <w:jc w:val="both"/>
        <w:rPr>
          <w:sz w:val="24"/>
          <w:szCs w:val="24"/>
        </w:rPr>
      </w:pPr>
    </w:p>
    <w:p w14:paraId="7F917DDD" w14:textId="77777777" w:rsidR="00D662B3" w:rsidRDefault="00D662B3" w:rsidP="00DA79B6">
      <w:pPr>
        <w:spacing w:line="240" w:lineRule="auto"/>
        <w:ind w:firstLine="720"/>
        <w:jc w:val="both"/>
        <w:rPr>
          <w:sz w:val="24"/>
          <w:szCs w:val="24"/>
        </w:rPr>
      </w:pPr>
    </w:p>
    <w:p w14:paraId="33DF30C4" w14:textId="77777777" w:rsidR="00D662B3" w:rsidRDefault="00D662B3" w:rsidP="00DA79B6">
      <w:pPr>
        <w:spacing w:line="240" w:lineRule="auto"/>
        <w:ind w:firstLine="720"/>
        <w:jc w:val="both"/>
        <w:rPr>
          <w:sz w:val="24"/>
          <w:szCs w:val="24"/>
        </w:rPr>
      </w:pPr>
    </w:p>
    <w:p w14:paraId="74E18309" w14:textId="7E7D9C39" w:rsidR="00DA79B6" w:rsidRPr="00DA79B6" w:rsidRDefault="00DA79B6" w:rsidP="00DA79B6">
      <w:pPr>
        <w:spacing w:line="240" w:lineRule="auto"/>
        <w:ind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Performance skills needed by each, such as:</w:t>
      </w:r>
    </w:p>
    <w:p w14:paraId="74E1830A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technical</w:t>
      </w:r>
    </w:p>
    <w:p w14:paraId="74E1830B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physical</w:t>
      </w:r>
    </w:p>
    <w:p w14:paraId="74E1830C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vocal</w:t>
      </w:r>
    </w:p>
    <w:p w14:paraId="74E1830D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interpretative.</w:t>
      </w:r>
    </w:p>
    <w:p w14:paraId="74E1830E" w14:textId="77777777" w:rsidR="00DA79B6" w:rsidRPr="00DA79B6" w:rsidRDefault="00DA79B6" w:rsidP="00DA79B6">
      <w:pPr>
        <w:spacing w:line="240" w:lineRule="auto"/>
        <w:ind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Training, such as:</w:t>
      </w:r>
    </w:p>
    <w:p w14:paraId="74E1830F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strategies for professional development</w:t>
      </w:r>
    </w:p>
    <w:p w14:paraId="74E18310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exercises and techniques to develop and improve performance skills</w:t>
      </w:r>
    </w:p>
    <w:p w14:paraId="74E18311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methods of monitoring progress.</w:t>
      </w:r>
    </w:p>
    <w:p w14:paraId="74E18312" w14:textId="77777777" w:rsidR="00DA79B6" w:rsidRPr="00DA79B6" w:rsidRDefault="00DA79B6" w:rsidP="00DA79B6">
      <w:pPr>
        <w:spacing w:line="240" w:lineRule="auto"/>
        <w:ind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Practical skills, such as:</w:t>
      </w:r>
    </w:p>
    <w:p w14:paraId="74E18313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planning</w:t>
      </w:r>
    </w:p>
    <w:p w14:paraId="74E18314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responding to direction/choreography</w:t>
      </w:r>
    </w:p>
    <w:p w14:paraId="74E18315" w14:textId="77777777" w:rsidR="00DA79B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collaboration</w:t>
      </w:r>
    </w:p>
    <w:p w14:paraId="74E18316" w14:textId="77777777" w:rsidR="00F23C46" w:rsidRPr="00DA79B6" w:rsidRDefault="00DA79B6" w:rsidP="00DA79B6">
      <w:pPr>
        <w:spacing w:line="240" w:lineRule="auto"/>
        <w:ind w:left="720" w:firstLine="720"/>
        <w:jc w:val="both"/>
        <w:rPr>
          <w:sz w:val="24"/>
          <w:szCs w:val="24"/>
        </w:rPr>
      </w:pPr>
      <w:r w:rsidRPr="00DA79B6">
        <w:rPr>
          <w:sz w:val="24"/>
          <w:szCs w:val="24"/>
        </w:rPr>
        <w:t>o team working.</w:t>
      </w:r>
    </w:p>
    <w:p w14:paraId="74E18317" w14:textId="77777777" w:rsidR="003C34AE" w:rsidRPr="00F23C46" w:rsidRDefault="003C34AE" w:rsidP="004E1841">
      <w:pPr>
        <w:rPr>
          <w:rFonts w:ascii="Comic Sans MS" w:hAnsi="Comic Sans MS"/>
          <w:color w:val="FF0000"/>
        </w:rPr>
      </w:pPr>
    </w:p>
    <w:sectPr w:rsidR="003C34AE" w:rsidRPr="00F23C46" w:rsidSect="00DA79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942"/>
    <w:multiLevelType w:val="hybridMultilevel"/>
    <w:tmpl w:val="BDA27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32A6"/>
    <w:multiLevelType w:val="hybridMultilevel"/>
    <w:tmpl w:val="8D72DA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6626"/>
    <w:multiLevelType w:val="hybridMultilevel"/>
    <w:tmpl w:val="B2423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25AD"/>
    <w:multiLevelType w:val="hybridMultilevel"/>
    <w:tmpl w:val="6B9A8118"/>
    <w:lvl w:ilvl="0" w:tplc="2660AC6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3A0"/>
    <w:multiLevelType w:val="hybridMultilevel"/>
    <w:tmpl w:val="ED768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2039"/>
    <w:multiLevelType w:val="hybridMultilevel"/>
    <w:tmpl w:val="7AD4772E"/>
    <w:lvl w:ilvl="0" w:tplc="30E2C96A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907C7"/>
    <w:multiLevelType w:val="hybridMultilevel"/>
    <w:tmpl w:val="1D7A3D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B4C1D"/>
    <w:multiLevelType w:val="hybridMultilevel"/>
    <w:tmpl w:val="3CF4DDBE"/>
    <w:lvl w:ilvl="0" w:tplc="94A03016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D4519"/>
    <w:multiLevelType w:val="hybridMultilevel"/>
    <w:tmpl w:val="A22296CC"/>
    <w:lvl w:ilvl="0" w:tplc="5A0AA51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41"/>
    <w:rsid w:val="00020F37"/>
    <w:rsid w:val="00032C65"/>
    <w:rsid w:val="00042DB4"/>
    <w:rsid w:val="00044575"/>
    <w:rsid w:val="000604D8"/>
    <w:rsid w:val="000E7A2C"/>
    <w:rsid w:val="001A40FB"/>
    <w:rsid w:val="001F7732"/>
    <w:rsid w:val="00206E25"/>
    <w:rsid w:val="002223FB"/>
    <w:rsid w:val="00255201"/>
    <w:rsid w:val="002659C6"/>
    <w:rsid w:val="002B1F1E"/>
    <w:rsid w:val="002F349B"/>
    <w:rsid w:val="00354211"/>
    <w:rsid w:val="00362A30"/>
    <w:rsid w:val="00385C99"/>
    <w:rsid w:val="00397CCF"/>
    <w:rsid w:val="003C34AE"/>
    <w:rsid w:val="00417815"/>
    <w:rsid w:val="0049166D"/>
    <w:rsid w:val="004B6895"/>
    <w:rsid w:val="004C74B2"/>
    <w:rsid w:val="004E1841"/>
    <w:rsid w:val="004E501F"/>
    <w:rsid w:val="004F184D"/>
    <w:rsid w:val="004F4C38"/>
    <w:rsid w:val="00502D48"/>
    <w:rsid w:val="00506043"/>
    <w:rsid w:val="0055707E"/>
    <w:rsid w:val="00594CD7"/>
    <w:rsid w:val="005B09D4"/>
    <w:rsid w:val="005D08ED"/>
    <w:rsid w:val="006303B9"/>
    <w:rsid w:val="00632B44"/>
    <w:rsid w:val="00650688"/>
    <w:rsid w:val="00664B47"/>
    <w:rsid w:val="00686A21"/>
    <w:rsid w:val="00694307"/>
    <w:rsid w:val="00730342"/>
    <w:rsid w:val="0076230E"/>
    <w:rsid w:val="007E4ABA"/>
    <w:rsid w:val="007F7AD5"/>
    <w:rsid w:val="00815018"/>
    <w:rsid w:val="008167C4"/>
    <w:rsid w:val="00852074"/>
    <w:rsid w:val="008A2F59"/>
    <w:rsid w:val="008F2D14"/>
    <w:rsid w:val="00957BC4"/>
    <w:rsid w:val="009C1691"/>
    <w:rsid w:val="00A04056"/>
    <w:rsid w:val="00A058BE"/>
    <w:rsid w:val="00A20203"/>
    <w:rsid w:val="00A8137E"/>
    <w:rsid w:val="00AD0F91"/>
    <w:rsid w:val="00B926FF"/>
    <w:rsid w:val="00BC7237"/>
    <w:rsid w:val="00C02F0F"/>
    <w:rsid w:val="00C54206"/>
    <w:rsid w:val="00C60654"/>
    <w:rsid w:val="00CF0BEF"/>
    <w:rsid w:val="00D07C3C"/>
    <w:rsid w:val="00D60DCF"/>
    <w:rsid w:val="00D662B3"/>
    <w:rsid w:val="00DA79B6"/>
    <w:rsid w:val="00DB5E59"/>
    <w:rsid w:val="00DF5728"/>
    <w:rsid w:val="00E004DA"/>
    <w:rsid w:val="00E46AF8"/>
    <w:rsid w:val="00E66A92"/>
    <w:rsid w:val="00E9751C"/>
    <w:rsid w:val="00EE1F9F"/>
    <w:rsid w:val="00EE5CD8"/>
    <w:rsid w:val="00F22457"/>
    <w:rsid w:val="00F23C46"/>
    <w:rsid w:val="00F52978"/>
    <w:rsid w:val="00F848A6"/>
    <w:rsid w:val="00F95679"/>
    <w:rsid w:val="00F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82BD"/>
  <w15:docId w15:val="{E3B51220-BBF4-4254-AB8E-453CDE59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B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7BC4"/>
    <w:pPr>
      <w:ind w:left="720"/>
      <w:contextualSpacing/>
    </w:pPr>
  </w:style>
  <w:style w:type="table" w:styleId="TableGrid">
    <w:name w:val="Table Grid"/>
    <w:basedOn w:val="TableNormal"/>
    <w:uiPriority w:val="59"/>
    <w:rsid w:val="0059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E7A2C"/>
    <w:rPr>
      <w:color w:val="800080" w:themeColor="followedHyperlink"/>
      <w:u w:val="single"/>
    </w:rPr>
  </w:style>
  <w:style w:type="paragraph" w:customStyle="1" w:styleId="Default">
    <w:name w:val="Default"/>
    <w:rsid w:val="00DA79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6305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7970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e.clark@georgesalter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E158A1A8BD744A9E5525C8B2767ED" ma:contentTypeVersion="14" ma:contentTypeDescription="Create a new document." ma:contentTypeScope="" ma:versionID="0556dcd4999da5b679c1702b30504518">
  <xsd:schema xmlns:xsd="http://www.w3.org/2001/XMLSchema" xmlns:xs="http://www.w3.org/2001/XMLSchema" xmlns:p="http://schemas.microsoft.com/office/2006/metadata/properties" xmlns:ns2="29c7b17c-3d42-4142-9d9d-8383e9f3041e" xmlns:ns3="c9bd829e-d24e-4e08-a8be-902b0855aaef" targetNamespace="http://schemas.microsoft.com/office/2006/metadata/properties" ma:root="true" ma:fieldsID="21995381e1369d0002010d86e474018b" ns2:_="" ns3:_="">
    <xsd:import namespace="29c7b17c-3d42-4142-9d9d-8383e9f3041e"/>
    <xsd:import namespace="c9bd829e-d24e-4e08-a8be-902b0855a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7b17c-3d42-4142-9d9d-8383e9f30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d829e-d24e-4e08-a8be-902b0855a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e8aa0f-d2e9-410e-8087-7ac2d14650a7}" ma:internalName="TaxCatchAll" ma:showField="CatchAllData" ma:web="c9bd829e-d24e-4e08-a8be-902b0855a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7b17c-3d42-4142-9d9d-8383e9f3041e">
      <Terms xmlns="http://schemas.microsoft.com/office/infopath/2007/PartnerControls"/>
    </lcf76f155ced4ddcb4097134ff3c332f>
    <TaxCatchAll xmlns="c9bd829e-d24e-4e08-a8be-902b0855aa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7D1E-58D5-4E92-8E86-333497FADE77}"/>
</file>

<file path=customXml/itemProps2.xml><?xml version="1.0" encoding="utf-8"?>
<ds:datastoreItem xmlns:ds="http://schemas.openxmlformats.org/officeDocument/2006/customXml" ds:itemID="{A847591F-AC57-471C-89C0-FBAFF01B8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986A4-7204-4476-9836-AC51AE6D267C}">
  <ds:schemaRefs>
    <ds:schemaRef ds:uri="9e83c0e3-d8bc-4215-b8fd-e403e04da8f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bcb1a04-f816-4a1e-82fd-5353551e6f8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A5515C-143A-4A10-8147-F5C9C53F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Salter Academy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Pierce</dc:creator>
  <cp:lastModifiedBy>Jose.Clark</cp:lastModifiedBy>
  <cp:revision>2</cp:revision>
  <cp:lastPrinted>2016-06-24T08:50:00Z</cp:lastPrinted>
  <dcterms:created xsi:type="dcterms:W3CDTF">2025-06-27T12:08:00Z</dcterms:created>
  <dcterms:modified xsi:type="dcterms:W3CDTF">2025-06-27T12:08:00Z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0x010100F21E158A1A8BD744A9E5525C8B2767ED</vt:lpwstr>
  </property>
</Properties>
</file>