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69CBCB" w14:textId="26BC610C" w:rsidR="00703958" w:rsidRPr="00C61159" w:rsidRDefault="00326C32" w:rsidP="00C61159">
      <w:pPr>
        <w:pStyle w:val="Heading1"/>
        <w:rPr>
          <w:rFonts w:eastAsia="Arial"/>
        </w:rPr>
      </w:pPr>
      <w:bookmarkStart w:id="0" w:name="_Toc449687248"/>
      <w:bookmarkStart w:id="1" w:name="_Toc433976555"/>
      <w:r w:rsidRPr="004E0F5B">
        <w:rPr>
          <w:rFonts w:eastAsia="Arial"/>
        </w:rPr>
        <w:t xml:space="preserve"> </w:t>
      </w:r>
      <w:r w:rsidR="00D04B89">
        <w:rPr>
          <w:rFonts w:eastAsia="Arial"/>
        </w:rPr>
        <w:t>Pupil p</w:t>
      </w:r>
      <w:r w:rsidRPr="004E0F5B">
        <w:rPr>
          <w:rFonts w:eastAsia="Arial"/>
        </w:rPr>
        <w:t xml:space="preserve">remium strategy statement </w:t>
      </w:r>
      <w:r>
        <w:rPr>
          <w:rFonts w:eastAsia="Arial"/>
        </w:rPr>
        <w:t>(secondary</w:t>
      </w:r>
      <w:bookmarkEnd w:id="0"/>
      <w:r w:rsidR="00C61159">
        <w:rPr>
          <w:rFonts w:eastAsia="Arial"/>
        </w:rPr>
        <w:t>)</w:t>
      </w:r>
    </w:p>
    <w:p w14:paraId="3CAC8280" w14:textId="39B2648A" w:rsidR="00814458" w:rsidRDefault="00814458" w:rsidP="00814458">
      <w:pPr>
        <w:spacing w:after="0"/>
        <w:rPr>
          <w:rFonts w:cs="Arial"/>
        </w:rPr>
      </w:pPr>
    </w:p>
    <w:tbl>
      <w:tblPr>
        <w:tblStyle w:val="TableGrid"/>
        <w:tblW w:w="15559" w:type="dxa"/>
        <w:tblLayout w:type="fixed"/>
        <w:tblLook w:val="04A0" w:firstRow="1" w:lastRow="0" w:firstColumn="1" w:lastColumn="0" w:noHBand="0" w:noVBand="1"/>
      </w:tblPr>
      <w:tblGrid>
        <w:gridCol w:w="2093"/>
        <w:gridCol w:w="2438"/>
        <w:gridCol w:w="4366"/>
        <w:gridCol w:w="5415"/>
        <w:gridCol w:w="1247"/>
      </w:tblGrid>
      <w:tr w:rsidR="00814458" w14:paraId="35CE8477" w14:textId="77777777" w:rsidTr="00451FA7">
        <w:tc>
          <w:tcPr>
            <w:tcW w:w="15559" w:type="dxa"/>
            <w:gridSpan w:val="5"/>
            <w:shd w:val="clear" w:color="auto" w:fill="CFDCE3"/>
            <w:tcMar>
              <w:top w:w="57" w:type="dxa"/>
              <w:bottom w:w="57" w:type="dxa"/>
            </w:tcMar>
          </w:tcPr>
          <w:p w14:paraId="41174C14" w14:textId="5EC92753" w:rsidR="00814458" w:rsidRPr="009242F1" w:rsidRDefault="00814458" w:rsidP="00AD1C4B">
            <w:pPr>
              <w:pStyle w:val="ListParagraph"/>
              <w:numPr>
                <w:ilvl w:val="0"/>
                <w:numId w:val="33"/>
              </w:numPr>
              <w:spacing w:after="0"/>
              <w:ind w:left="426" w:hanging="284"/>
              <w:contextualSpacing w:val="0"/>
              <w:rPr>
                <w:rFonts w:cs="Arial"/>
                <w:b/>
              </w:rPr>
            </w:pPr>
            <w:r w:rsidRPr="009242F1">
              <w:rPr>
                <w:rFonts w:cs="Arial"/>
                <w:b/>
              </w:rPr>
              <w:t xml:space="preserve">Review of expenditure </w:t>
            </w:r>
          </w:p>
        </w:tc>
      </w:tr>
      <w:tr w:rsidR="00814458" w14:paraId="1C0FD6B2" w14:textId="77777777" w:rsidTr="00A02589">
        <w:tc>
          <w:tcPr>
            <w:tcW w:w="4531" w:type="dxa"/>
            <w:gridSpan w:val="2"/>
            <w:shd w:val="clear" w:color="auto" w:fill="auto"/>
            <w:tcMar>
              <w:top w:w="57" w:type="dxa"/>
              <w:bottom w:w="57" w:type="dxa"/>
            </w:tcMar>
          </w:tcPr>
          <w:p w14:paraId="4EBCA3F8" w14:textId="77777777" w:rsidR="00814458" w:rsidRPr="000B25ED" w:rsidRDefault="00814458" w:rsidP="00497D2D">
            <w:pPr>
              <w:spacing w:after="0" w:line="240" w:lineRule="auto"/>
              <w:rPr>
                <w:rFonts w:cs="Arial"/>
                <w:b/>
              </w:rPr>
            </w:pPr>
            <w:r w:rsidRPr="000B25ED">
              <w:rPr>
                <w:rFonts w:cs="Arial"/>
                <w:b/>
              </w:rPr>
              <w:t>Previous Academic Year</w:t>
            </w:r>
          </w:p>
        </w:tc>
        <w:tc>
          <w:tcPr>
            <w:tcW w:w="11028" w:type="dxa"/>
            <w:gridSpan w:val="3"/>
            <w:shd w:val="clear" w:color="auto" w:fill="auto"/>
          </w:tcPr>
          <w:p w14:paraId="35EB39A9" w14:textId="4C319394" w:rsidR="00814458" w:rsidRPr="003409F2" w:rsidRDefault="00D46ED9" w:rsidP="00497D2D">
            <w:pPr>
              <w:spacing w:after="0" w:line="240" w:lineRule="auto"/>
              <w:ind w:left="720" w:hanging="360"/>
              <w:rPr>
                <w:rFonts w:cs="Arial"/>
                <w:b/>
              </w:rPr>
            </w:pPr>
            <w:r>
              <w:rPr>
                <w:rFonts w:cs="Arial"/>
                <w:b/>
              </w:rPr>
              <w:t>2019-20</w:t>
            </w:r>
          </w:p>
        </w:tc>
      </w:tr>
      <w:tr w:rsidR="00814458" w14:paraId="38BBC6D2" w14:textId="77777777" w:rsidTr="003409F2">
        <w:tc>
          <w:tcPr>
            <w:tcW w:w="15559" w:type="dxa"/>
            <w:gridSpan w:val="5"/>
            <w:shd w:val="clear" w:color="auto" w:fill="FFFFFF" w:themeFill="background1"/>
            <w:tcMar>
              <w:top w:w="57" w:type="dxa"/>
              <w:bottom w:w="57" w:type="dxa"/>
            </w:tcMar>
          </w:tcPr>
          <w:p w14:paraId="26AC3D63" w14:textId="6206FFA7" w:rsidR="00814458" w:rsidRPr="009079EE" w:rsidRDefault="00AB1DC3" w:rsidP="00AB1DC3">
            <w:pPr>
              <w:pStyle w:val="ListParagraph"/>
              <w:numPr>
                <w:ilvl w:val="0"/>
                <w:numId w:val="0"/>
              </w:numPr>
              <w:spacing w:after="0" w:line="240" w:lineRule="auto"/>
              <w:ind w:left="426"/>
              <w:contextualSpacing w:val="0"/>
              <w:rPr>
                <w:rFonts w:cs="Arial"/>
                <w:b/>
              </w:rPr>
            </w:pPr>
            <w:r>
              <w:rPr>
                <w:rFonts w:cs="Arial"/>
                <w:b/>
              </w:rPr>
              <w:t>Outcomes</w:t>
            </w:r>
          </w:p>
        </w:tc>
      </w:tr>
      <w:tr w:rsidR="00814458" w14:paraId="6DD4D4A6" w14:textId="77777777" w:rsidTr="009905B1">
        <w:trPr>
          <w:trHeight w:val="57"/>
        </w:trPr>
        <w:tc>
          <w:tcPr>
            <w:tcW w:w="2093" w:type="dxa"/>
            <w:tcMar>
              <w:top w:w="57" w:type="dxa"/>
              <w:bottom w:w="57" w:type="dxa"/>
            </w:tcMar>
          </w:tcPr>
          <w:p w14:paraId="16C7478C" w14:textId="77777777" w:rsidR="00814458" w:rsidRPr="006D447D" w:rsidRDefault="00814458" w:rsidP="00814458">
            <w:pPr>
              <w:spacing w:after="0"/>
              <w:rPr>
                <w:rFonts w:cs="Arial"/>
                <w:b/>
              </w:rPr>
            </w:pPr>
            <w:r>
              <w:rPr>
                <w:rFonts w:cs="Arial"/>
                <w:b/>
              </w:rPr>
              <w:t>Desired o</w:t>
            </w:r>
            <w:r w:rsidRPr="006D447D">
              <w:rPr>
                <w:rFonts w:cs="Arial"/>
                <w:b/>
              </w:rPr>
              <w:t>utcome</w:t>
            </w:r>
          </w:p>
        </w:tc>
        <w:tc>
          <w:tcPr>
            <w:tcW w:w="2438" w:type="dxa"/>
            <w:tcMar>
              <w:top w:w="57" w:type="dxa"/>
              <w:bottom w:w="57" w:type="dxa"/>
            </w:tcMar>
          </w:tcPr>
          <w:p w14:paraId="761096DB" w14:textId="274F6466" w:rsidR="00814458" w:rsidRPr="006D447D" w:rsidRDefault="00814458" w:rsidP="00814458">
            <w:pPr>
              <w:spacing w:after="0"/>
              <w:rPr>
                <w:rFonts w:cs="Arial"/>
                <w:b/>
              </w:rPr>
            </w:pPr>
            <w:r w:rsidRPr="006D447D">
              <w:rPr>
                <w:rFonts w:cs="Arial"/>
                <w:b/>
              </w:rPr>
              <w:t xml:space="preserve">Chosen </w:t>
            </w:r>
            <w:r>
              <w:rPr>
                <w:rFonts w:cs="Arial"/>
                <w:b/>
              </w:rPr>
              <w:t>action</w:t>
            </w:r>
            <w:r w:rsidR="00D10355">
              <w:rPr>
                <w:rFonts w:cs="Arial"/>
                <w:b/>
              </w:rPr>
              <w:t xml:space="preserve"> </w:t>
            </w:r>
            <w:r>
              <w:rPr>
                <w:rFonts w:cs="Arial"/>
                <w:b/>
              </w:rPr>
              <w:t>/</w:t>
            </w:r>
            <w:r w:rsidR="00D10355">
              <w:rPr>
                <w:rFonts w:cs="Arial"/>
                <w:b/>
              </w:rPr>
              <w:t xml:space="preserve"> </w:t>
            </w:r>
            <w:r w:rsidRPr="006D447D">
              <w:rPr>
                <w:rFonts w:cs="Arial"/>
                <w:b/>
              </w:rPr>
              <w:t>approach</w:t>
            </w:r>
          </w:p>
        </w:tc>
        <w:tc>
          <w:tcPr>
            <w:tcW w:w="4366" w:type="dxa"/>
            <w:tcMar>
              <w:top w:w="57" w:type="dxa"/>
              <w:bottom w:w="57" w:type="dxa"/>
            </w:tcMar>
          </w:tcPr>
          <w:p w14:paraId="757836F5" w14:textId="77777777" w:rsidR="00814458" w:rsidRPr="005A04D4" w:rsidRDefault="00814458" w:rsidP="00814458">
            <w:pPr>
              <w:spacing w:after="0"/>
              <w:rPr>
                <w:rFonts w:cs="Arial"/>
              </w:rPr>
            </w:pPr>
            <w:r>
              <w:rPr>
                <w:rFonts w:cs="Arial"/>
                <w:b/>
              </w:rPr>
              <w:t xml:space="preserve">Estimated impact: </w:t>
            </w:r>
            <w:r>
              <w:rPr>
                <w:rFonts w:cs="Arial"/>
              </w:rPr>
              <w:t>Did you meet the success criteria</w:t>
            </w:r>
            <w:r w:rsidRPr="007335B7">
              <w:rPr>
                <w:rFonts w:cs="Arial"/>
              </w:rPr>
              <w:t>?</w:t>
            </w:r>
            <w:r>
              <w:rPr>
                <w:rFonts w:cs="Arial"/>
              </w:rPr>
              <w:t xml:space="preserve"> I</w:t>
            </w:r>
            <w:r w:rsidRPr="00F93C25">
              <w:rPr>
                <w:rFonts w:cs="Arial"/>
              </w:rPr>
              <w:t>nclude impact on pupils not eli</w:t>
            </w:r>
            <w:r>
              <w:rPr>
                <w:rFonts w:cs="Arial"/>
              </w:rPr>
              <w:t>gible for PP, if appropriate.</w:t>
            </w:r>
          </w:p>
        </w:tc>
        <w:tc>
          <w:tcPr>
            <w:tcW w:w="5415" w:type="dxa"/>
            <w:tcMar>
              <w:top w:w="57" w:type="dxa"/>
              <w:bottom w:w="57" w:type="dxa"/>
            </w:tcMar>
          </w:tcPr>
          <w:p w14:paraId="1FE14852" w14:textId="77777777" w:rsidR="00814458" w:rsidRDefault="00814458" w:rsidP="00814458">
            <w:pPr>
              <w:spacing w:after="0"/>
              <w:rPr>
                <w:rFonts w:cs="Arial"/>
                <w:b/>
              </w:rPr>
            </w:pPr>
            <w:r>
              <w:rPr>
                <w:rFonts w:cs="Arial"/>
                <w:b/>
              </w:rPr>
              <w:t xml:space="preserve">Lessons learned </w:t>
            </w:r>
          </w:p>
          <w:p w14:paraId="20A03A3F" w14:textId="05064DB7" w:rsidR="00814458" w:rsidRPr="006D447D" w:rsidRDefault="00814458" w:rsidP="00814458">
            <w:pPr>
              <w:spacing w:after="0"/>
              <w:rPr>
                <w:rFonts w:cs="Arial"/>
                <w:b/>
              </w:rPr>
            </w:pPr>
            <w:r w:rsidRPr="007335B7">
              <w:rPr>
                <w:rFonts w:cs="Arial"/>
              </w:rPr>
              <w:t>(and whether you will continue with this approach)</w:t>
            </w:r>
          </w:p>
        </w:tc>
        <w:tc>
          <w:tcPr>
            <w:tcW w:w="1247" w:type="dxa"/>
          </w:tcPr>
          <w:p w14:paraId="3DE74F2A" w14:textId="77777777" w:rsidR="00814458" w:rsidRPr="009079EE" w:rsidRDefault="00814458" w:rsidP="00814458">
            <w:pPr>
              <w:spacing w:after="0"/>
              <w:rPr>
                <w:rFonts w:cs="Arial"/>
                <w:b/>
                <w:sz w:val="20"/>
                <w:szCs w:val="20"/>
              </w:rPr>
            </w:pPr>
            <w:r w:rsidRPr="006D447D">
              <w:rPr>
                <w:rFonts w:cs="Arial"/>
                <w:b/>
              </w:rPr>
              <w:t>Cost</w:t>
            </w:r>
          </w:p>
        </w:tc>
      </w:tr>
      <w:tr w:rsidR="00814458" w14:paraId="6875CB73" w14:textId="77777777" w:rsidTr="009905B1">
        <w:trPr>
          <w:trHeight w:hRule="exact" w:val="5179"/>
        </w:trPr>
        <w:tc>
          <w:tcPr>
            <w:tcW w:w="2093" w:type="dxa"/>
            <w:tcMar>
              <w:top w:w="57" w:type="dxa"/>
              <w:bottom w:w="57" w:type="dxa"/>
            </w:tcMar>
          </w:tcPr>
          <w:p w14:paraId="18EECEB5" w14:textId="1863D1A9" w:rsidR="00814458" w:rsidRPr="00985F1A" w:rsidRDefault="00D46ED9" w:rsidP="00814458">
            <w:pPr>
              <w:spacing w:after="0"/>
              <w:rPr>
                <w:rFonts w:cs="Arial"/>
                <w:sz w:val="20"/>
                <w:szCs w:val="20"/>
              </w:rPr>
            </w:pPr>
            <w:r w:rsidRPr="00985F1A">
              <w:rPr>
                <w:rFonts w:cs="Calibri"/>
                <w:color w:val="000000"/>
                <w:sz w:val="20"/>
                <w:szCs w:val="20"/>
              </w:rPr>
              <w:t>Achieve top quartile for progress made by disadvantaged pupils amongst similar schools</w:t>
            </w:r>
          </w:p>
        </w:tc>
        <w:tc>
          <w:tcPr>
            <w:tcW w:w="2438" w:type="dxa"/>
            <w:tcMar>
              <w:top w:w="57" w:type="dxa"/>
              <w:bottom w:w="57" w:type="dxa"/>
            </w:tcMar>
          </w:tcPr>
          <w:p w14:paraId="75E95F44" w14:textId="77777777" w:rsidR="00814458" w:rsidRPr="00985F1A" w:rsidRDefault="00DF7133" w:rsidP="00814458">
            <w:pPr>
              <w:spacing w:after="0"/>
              <w:rPr>
                <w:rStyle w:val="PlaceholderText"/>
                <w:color w:val="auto"/>
                <w:sz w:val="20"/>
                <w:szCs w:val="20"/>
              </w:rPr>
            </w:pPr>
            <w:r w:rsidRPr="00985F1A">
              <w:rPr>
                <w:rStyle w:val="PlaceholderText"/>
                <w:color w:val="auto"/>
                <w:sz w:val="20"/>
                <w:szCs w:val="20"/>
              </w:rPr>
              <w:t>Recruitment, retention and Continuing Professional Development across the Academy but most particularly in Science, Languages, Geography and selected Open Basket subjects.</w:t>
            </w:r>
          </w:p>
          <w:p w14:paraId="1C7CA689" w14:textId="01607716" w:rsidR="00DF7133" w:rsidRPr="00985F1A" w:rsidRDefault="00DF7133" w:rsidP="00814458">
            <w:pPr>
              <w:spacing w:after="0"/>
              <w:rPr>
                <w:rFonts w:cs="Arial"/>
                <w:sz w:val="20"/>
                <w:szCs w:val="20"/>
              </w:rPr>
            </w:pPr>
            <w:r w:rsidRPr="00985F1A">
              <w:rPr>
                <w:rStyle w:val="PlaceholderText"/>
                <w:color w:val="0D0D0D"/>
                <w:sz w:val="20"/>
                <w:szCs w:val="20"/>
              </w:rPr>
              <w:t>Development of subject specialism expertise.</w:t>
            </w:r>
          </w:p>
        </w:tc>
        <w:tc>
          <w:tcPr>
            <w:tcW w:w="4366" w:type="dxa"/>
            <w:tcMar>
              <w:top w:w="57" w:type="dxa"/>
              <w:bottom w:w="57" w:type="dxa"/>
            </w:tcMar>
          </w:tcPr>
          <w:p w14:paraId="621AFC69" w14:textId="4A94F4A3" w:rsidR="00F21AEB" w:rsidRPr="00985F1A" w:rsidRDefault="00F21AEB" w:rsidP="00814458">
            <w:pPr>
              <w:spacing w:after="0"/>
              <w:rPr>
                <w:rFonts w:cs="Arial"/>
                <w:color w:val="auto"/>
                <w:sz w:val="20"/>
                <w:szCs w:val="20"/>
              </w:rPr>
            </w:pPr>
            <w:r w:rsidRPr="00985F1A">
              <w:rPr>
                <w:rFonts w:cs="Arial"/>
                <w:color w:val="auto"/>
                <w:sz w:val="20"/>
                <w:szCs w:val="20"/>
              </w:rPr>
              <w:t>In 2019 the A8 score for PP was 36.44 and for NPP it was 49.25 with a gap of 12.81.</w:t>
            </w:r>
          </w:p>
          <w:p w14:paraId="23D3C207" w14:textId="47CD5AC3" w:rsidR="00F21AEB" w:rsidRPr="00985F1A" w:rsidRDefault="00F21AEB" w:rsidP="00F21AEB">
            <w:pPr>
              <w:spacing w:after="0"/>
              <w:rPr>
                <w:rFonts w:cs="Arial"/>
                <w:color w:val="auto"/>
                <w:sz w:val="20"/>
                <w:szCs w:val="20"/>
              </w:rPr>
            </w:pPr>
            <w:r w:rsidRPr="00985F1A">
              <w:rPr>
                <w:rFonts w:cs="Arial"/>
                <w:color w:val="auto"/>
                <w:sz w:val="20"/>
                <w:szCs w:val="20"/>
              </w:rPr>
              <w:t>In 2020 the A8 score for PP was 43.77 and for NPP it was 49.03 with a gap of 5.26.</w:t>
            </w:r>
          </w:p>
          <w:p w14:paraId="2C1FD5D7" w14:textId="77777777" w:rsidR="00F21AEB" w:rsidRPr="00985F1A" w:rsidRDefault="00F21AEB" w:rsidP="00F21AEB">
            <w:pPr>
              <w:spacing w:after="0"/>
              <w:rPr>
                <w:rFonts w:cs="Arial"/>
                <w:color w:val="FF0000"/>
                <w:sz w:val="20"/>
                <w:szCs w:val="20"/>
              </w:rPr>
            </w:pPr>
          </w:p>
          <w:p w14:paraId="4F79EF19" w14:textId="3E2016A9" w:rsidR="00F21AEB" w:rsidRPr="00985F1A" w:rsidRDefault="00F21AEB" w:rsidP="00814458">
            <w:pPr>
              <w:spacing w:after="0"/>
              <w:rPr>
                <w:rFonts w:cs="Arial"/>
                <w:color w:val="FF0000"/>
                <w:sz w:val="20"/>
                <w:szCs w:val="20"/>
              </w:rPr>
            </w:pPr>
          </w:p>
          <w:p w14:paraId="750D92C2" w14:textId="45DC982C" w:rsidR="00D46ED9" w:rsidRPr="00985F1A" w:rsidRDefault="00D46ED9" w:rsidP="00814458">
            <w:pPr>
              <w:spacing w:after="0"/>
              <w:rPr>
                <w:rFonts w:cs="Arial"/>
                <w:sz w:val="20"/>
                <w:szCs w:val="20"/>
              </w:rPr>
            </w:pPr>
          </w:p>
        </w:tc>
        <w:tc>
          <w:tcPr>
            <w:tcW w:w="5415" w:type="dxa"/>
            <w:tcMar>
              <w:top w:w="57" w:type="dxa"/>
              <w:bottom w:w="57" w:type="dxa"/>
            </w:tcMar>
          </w:tcPr>
          <w:p w14:paraId="20D7B7B9" w14:textId="429AA8AA" w:rsidR="005E1F47" w:rsidRPr="00985F1A" w:rsidRDefault="00BD117A" w:rsidP="00814458">
            <w:pPr>
              <w:spacing w:after="0"/>
              <w:rPr>
                <w:rStyle w:val="PlaceholderText"/>
                <w:color w:val="0D0D0D"/>
                <w:sz w:val="20"/>
                <w:szCs w:val="20"/>
              </w:rPr>
            </w:pPr>
            <w:r>
              <w:rPr>
                <w:rStyle w:val="PlaceholderText"/>
                <w:color w:val="0D0D0D"/>
                <w:sz w:val="20"/>
                <w:szCs w:val="20"/>
              </w:rPr>
              <w:t>Strategies to tackle in school variation were limited by  r</w:t>
            </w:r>
            <w:r w:rsidR="00DF7133" w:rsidRPr="00985F1A">
              <w:rPr>
                <w:rStyle w:val="PlaceholderText"/>
                <w:color w:val="0D0D0D"/>
                <w:sz w:val="20"/>
                <w:szCs w:val="20"/>
              </w:rPr>
              <w:t>ecruitment and retention issues particularly in Science and MFL</w:t>
            </w:r>
            <w:r>
              <w:rPr>
                <w:rStyle w:val="PlaceholderText"/>
                <w:color w:val="0D0D0D"/>
                <w:sz w:val="20"/>
                <w:szCs w:val="20"/>
              </w:rPr>
              <w:t xml:space="preserve"> which the academy has worked hard to overcome.  S</w:t>
            </w:r>
            <w:bookmarkStart w:id="2" w:name="_GoBack"/>
            <w:bookmarkEnd w:id="2"/>
            <w:r w:rsidR="00DF7133" w:rsidRPr="00985F1A">
              <w:rPr>
                <w:rStyle w:val="PlaceholderText"/>
                <w:color w:val="0D0D0D"/>
                <w:sz w:val="20"/>
                <w:szCs w:val="20"/>
              </w:rPr>
              <w:t>taffing stability was achieved in Maths.  There was significant improvement in the performance of the Open baskets and there was evidence of an improving results trend in Languages and Geography.</w:t>
            </w:r>
          </w:p>
          <w:p w14:paraId="24C41723" w14:textId="0F42B0EE" w:rsidR="00DF7133" w:rsidRPr="00985F1A" w:rsidRDefault="00DF7133" w:rsidP="00814458">
            <w:pPr>
              <w:spacing w:after="0"/>
              <w:rPr>
                <w:rFonts w:cs="Arial"/>
                <w:sz w:val="20"/>
                <w:szCs w:val="20"/>
              </w:rPr>
            </w:pPr>
            <w:r w:rsidRPr="00985F1A">
              <w:rPr>
                <w:rFonts w:cs="Calibri"/>
                <w:color w:val="000000"/>
                <w:sz w:val="20"/>
                <w:szCs w:val="20"/>
              </w:rPr>
              <w:t>En</w:t>
            </w:r>
            <w:r w:rsidR="00F21AEB" w:rsidRPr="00985F1A">
              <w:rPr>
                <w:rFonts w:cs="Calibri"/>
                <w:color w:val="000000"/>
                <w:sz w:val="20"/>
                <w:szCs w:val="20"/>
              </w:rPr>
              <w:t>suring enough time is given</w:t>
            </w:r>
            <w:r w:rsidRPr="00985F1A">
              <w:rPr>
                <w:rFonts w:cs="Calibri"/>
                <w:color w:val="000000"/>
                <w:sz w:val="20"/>
                <w:szCs w:val="20"/>
              </w:rPr>
              <w:t xml:space="preserve"> to allow for staff professional development</w:t>
            </w:r>
            <w:r w:rsidRPr="00985F1A">
              <w:rPr>
                <w:color w:val="0D0D0D"/>
                <w:sz w:val="20"/>
                <w:szCs w:val="20"/>
              </w:rPr>
              <w:t xml:space="preserve"> </w:t>
            </w:r>
            <w:r w:rsidRPr="00985F1A">
              <w:rPr>
                <w:rStyle w:val="PlaceholderText"/>
                <w:color w:val="0D0D0D"/>
                <w:sz w:val="20"/>
                <w:szCs w:val="20"/>
              </w:rPr>
              <w:t>through the close organisation of school calendar through a matrix system and more time given to departments</w:t>
            </w:r>
            <w:r w:rsidR="00C61159" w:rsidRPr="00985F1A">
              <w:rPr>
                <w:rStyle w:val="PlaceholderText"/>
                <w:color w:val="0D0D0D"/>
                <w:sz w:val="20"/>
                <w:szCs w:val="20"/>
              </w:rPr>
              <w:t xml:space="preserve"> was key to the development of staff and this will continue.</w:t>
            </w:r>
          </w:p>
        </w:tc>
        <w:tc>
          <w:tcPr>
            <w:tcW w:w="1247" w:type="dxa"/>
          </w:tcPr>
          <w:p w14:paraId="11B85A88" w14:textId="730AE705" w:rsidR="00814458" w:rsidRPr="00985F1A" w:rsidRDefault="009905B1" w:rsidP="00814458">
            <w:pPr>
              <w:spacing w:after="0"/>
              <w:rPr>
                <w:rFonts w:cs="Arial"/>
                <w:sz w:val="20"/>
                <w:szCs w:val="20"/>
              </w:rPr>
            </w:pPr>
            <w:r w:rsidRPr="00985F1A">
              <w:rPr>
                <w:rFonts w:cs="Arial"/>
                <w:sz w:val="20"/>
                <w:szCs w:val="20"/>
              </w:rPr>
              <w:t>£180,000</w:t>
            </w:r>
          </w:p>
        </w:tc>
      </w:tr>
      <w:tr w:rsidR="00814458" w14:paraId="5046DDBD" w14:textId="77777777" w:rsidTr="009905B1">
        <w:trPr>
          <w:trHeight w:hRule="exact" w:val="3629"/>
        </w:trPr>
        <w:tc>
          <w:tcPr>
            <w:tcW w:w="2093" w:type="dxa"/>
            <w:tcMar>
              <w:top w:w="57" w:type="dxa"/>
              <w:bottom w:w="57" w:type="dxa"/>
            </w:tcMar>
          </w:tcPr>
          <w:p w14:paraId="0A0AF5E3" w14:textId="0FD52B30" w:rsidR="00814458" w:rsidRPr="00985F1A" w:rsidRDefault="00DF7133" w:rsidP="00814458">
            <w:pPr>
              <w:spacing w:after="0"/>
              <w:rPr>
                <w:rFonts w:cs="Arial"/>
                <w:sz w:val="20"/>
                <w:szCs w:val="20"/>
              </w:rPr>
            </w:pPr>
            <w:r w:rsidRPr="00985F1A">
              <w:rPr>
                <w:rFonts w:cs="Calibri"/>
                <w:color w:val="000000"/>
                <w:sz w:val="20"/>
                <w:szCs w:val="20"/>
              </w:rPr>
              <w:lastRenderedPageBreak/>
              <w:t>Achieve national average for attainment for all pupils</w:t>
            </w:r>
          </w:p>
        </w:tc>
        <w:tc>
          <w:tcPr>
            <w:tcW w:w="2438" w:type="dxa"/>
            <w:tcMar>
              <w:top w:w="57" w:type="dxa"/>
              <w:bottom w:w="57" w:type="dxa"/>
            </w:tcMar>
          </w:tcPr>
          <w:p w14:paraId="5233572D" w14:textId="77777777" w:rsidR="00814458" w:rsidRPr="00985F1A" w:rsidRDefault="00DF7133" w:rsidP="00D604B0">
            <w:pPr>
              <w:spacing w:after="0"/>
              <w:rPr>
                <w:rStyle w:val="PlaceholderText"/>
                <w:color w:val="auto"/>
                <w:sz w:val="20"/>
                <w:szCs w:val="20"/>
              </w:rPr>
            </w:pPr>
            <w:r w:rsidRPr="00985F1A">
              <w:rPr>
                <w:rStyle w:val="PlaceholderText"/>
                <w:color w:val="auto"/>
                <w:sz w:val="20"/>
                <w:szCs w:val="20"/>
              </w:rPr>
              <w:t>Focus on underperforming students across all year groups through investment in a progress leader system.</w:t>
            </w:r>
          </w:p>
          <w:p w14:paraId="6187C9A6" w14:textId="0A7F211A" w:rsidR="00DF7133" w:rsidRPr="00985F1A" w:rsidRDefault="00DF7133" w:rsidP="00D604B0">
            <w:pPr>
              <w:spacing w:after="0"/>
              <w:rPr>
                <w:rFonts w:cs="Arial"/>
                <w:sz w:val="20"/>
                <w:szCs w:val="20"/>
              </w:rPr>
            </w:pPr>
            <w:r w:rsidRPr="00985F1A">
              <w:rPr>
                <w:rFonts w:cs="Calibri"/>
                <w:color w:val="000000"/>
                <w:sz w:val="20"/>
                <w:szCs w:val="20"/>
              </w:rPr>
              <w:t>Literacy interventions across KS3 for low attaining disadvantaged pupils</w:t>
            </w:r>
          </w:p>
        </w:tc>
        <w:tc>
          <w:tcPr>
            <w:tcW w:w="4366" w:type="dxa"/>
            <w:tcMar>
              <w:top w:w="57" w:type="dxa"/>
              <w:bottom w:w="57" w:type="dxa"/>
            </w:tcMar>
          </w:tcPr>
          <w:p w14:paraId="3FFF5110" w14:textId="77777777" w:rsidR="00814458" w:rsidRPr="00985F1A" w:rsidRDefault="009905B1" w:rsidP="00814458">
            <w:pPr>
              <w:spacing w:after="0"/>
              <w:rPr>
                <w:rFonts w:cs="Arial"/>
                <w:sz w:val="20"/>
                <w:szCs w:val="20"/>
              </w:rPr>
            </w:pPr>
            <w:r w:rsidRPr="00985F1A">
              <w:rPr>
                <w:rFonts w:cs="Arial"/>
                <w:sz w:val="20"/>
                <w:szCs w:val="20"/>
              </w:rPr>
              <w:t>2020 results APS for PP 4.38 with a gap of 0.52.  2019 results APS for PP 3.64 with a gap of 1.29.</w:t>
            </w:r>
          </w:p>
          <w:p w14:paraId="314FCA62" w14:textId="68EA3006" w:rsidR="009905B1" w:rsidRPr="00985F1A" w:rsidRDefault="009905B1" w:rsidP="00814458">
            <w:pPr>
              <w:spacing w:after="0"/>
              <w:rPr>
                <w:rFonts w:cs="Arial"/>
                <w:sz w:val="20"/>
                <w:szCs w:val="20"/>
              </w:rPr>
            </w:pPr>
          </w:p>
        </w:tc>
        <w:tc>
          <w:tcPr>
            <w:tcW w:w="5415" w:type="dxa"/>
            <w:tcMar>
              <w:top w:w="57" w:type="dxa"/>
              <w:bottom w:w="57" w:type="dxa"/>
            </w:tcMar>
          </w:tcPr>
          <w:p w14:paraId="5FA5DF7A" w14:textId="77777777" w:rsidR="00650229" w:rsidRPr="00985F1A" w:rsidRDefault="00650229" w:rsidP="00650229">
            <w:pPr>
              <w:pStyle w:val="TableRow"/>
              <w:ind w:left="0"/>
              <w:rPr>
                <w:sz w:val="20"/>
                <w:szCs w:val="20"/>
              </w:rPr>
            </w:pPr>
            <w:r w:rsidRPr="00985F1A">
              <w:rPr>
                <w:rStyle w:val="PlaceholderText"/>
                <w:color w:val="auto"/>
                <w:sz w:val="20"/>
                <w:szCs w:val="20"/>
              </w:rPr>
              <w:t>Focus on underperforming students across all year groups through investment in a progress leader system. Curriculum maps which show sequencing and inter-leaving within each subject area are in place and mapped cross curricular links have been developed.  There is evidence of low stakes testing in all books. Further development is still required with our cultural capital programme.</w:t>
            </w:r>
          </w:p>
          <w:p w14:paraId="5D13ECB7" w14:textId="2FE7C4D6" w:rsidR="00A51847" w:rsidRPr="00985F1A" w:rsidRDefault="00650229" w:rsidP="00814458">
            <w:pPr>
              <w:spacing w:after="0"/>
              <w:rPr>
                <w:rFonts w:cs="Arial"/>
                <w:sz w:val="20"/>
                <w:szCs w:val="20"/>
              </w:rPr>
            </w:pPr>
            <w:r w:rsidRPr="00985F1A">
              <w:rPr>
                <w:rStyle w:val="PlaceholderText"/>
                <w:color w:val="auto"/>
                <w:sz w:val="20"/>
                <w:szCs w:val="20"/>
              </w:rPr>
              <w:t xml:space="preserve"> </w:t>
            </w:r>
            <w:r w:rsidR="00805854" w:rsidRPr="00985F1A">
              <w:rPr>
                <w:rFonts w:cs="Arial"/>
                <w:sz w:val="20"/>
                <w:szCs w:val="20"/>
              </w:rPr>
              <w:t>Exam based CPD.  Increased involvement with OAT and LA subject networks</w:t>
            </w:r>
            <w:r w:rsidR="00C61159" w:rsidRPr="00985F1A">
              <w:rPr>
                <w:rFonts w:cs="Arial"/>
                <w:sz w:val="20"/>
                <w:szCs w:val="20"/>
              </w:rPr>
              <w:t>.  Given the demonstrable impact of this we will continue with these strategies.</w:t>
            </w:r>
          </w:p>
        </w:tc>
        <w:tc>
          <w:tcPr>
            <w:tcW w:w="1247" w:type="dxa"/>
          </w:tcPr>
          <w:p w14:paraId="606CFD86" w14:textId="2D48575E" w:rsidR="00814458" w:rsidRPr="00985F1A" w:rsidRDefault="00805854" w:rsidP="00814458">
            <w:pPr>
              <w:spacing w:after="0"/>
              <w:rPr>
                <w:rFonts w:cs="Arial"/>
                <w:sz w:val="20"/>
                <w:szCs w:val="20"/>
              </w:rPr>
            </w:pPr>
            <w:r w:rsidRPr="00985F1A">
              <w:rPr>
                <w:rFonts w:cs="Arial"/>
                <w:sz w:val="20"/>
                <w:szCs w:val="20"/>
              </w:rPr>
              <w:t>£110,000</w:t>
            </w:r>
          </w:p>
        </w:tc>
      </w:tr>
      <w:tr w:rsidR="00985F1A" w14:paraId="0A94BEB9" w14:textId="77777777" w:rsidTr="00304D62">
        <w:trPr>
          <w:trHeight w:hRule="exact" w:val="3629"/>
        </w:trPr>
        <w:tc>
          <w:tcPr>
            <w:tcW w:w="2093" w:type="dxa"/>
            <w:tcBorders>
              <w:bottom w:val="single" w:sz="4" w:space="0" w:color="auto"/>
            </w:tcBorders>
            <w:tcMar>
              <w:top w:w="57" w:type="dxa"/>
              <w:bottom w:w="57" w:type="dxa"/>
            </w:tcMar>
          </w:tcPr>
          <w:p w14:paraId="36C360C0" w14:textId="77777777" w:rsidR="00985F1A" w:rsidRPr="00985F1A" w:rsidRDefault="00985F1A" w:rsidP="00805854">
            <w:pPr>
              <w:spacing w:after="0"/>
              <w:rPr>
                <w:rFonts w:cs="Calibri"/>
                <w:color w:val="000000"/>
                <w:sz w:val="20"/>
                <w:szCs w:val="20"/>
              </w:rPr>
            </w:pPr>
            <w:r w:rsidRPr="00985F1A">
              <w:rPr>
                <w:rFonts w:cs="Calibri"/>
                <w:color w:val="000000"/>
                <w:sz w:val="20"/>
                <w:szCs w:val="20"/>
              </w:rPr>
              <w:t>Achieve average English and maths 5+ scores for similar schools</w:t>
            </w:r>
          </w:p>
          <w:p w14:paraId="1B60B8AB" w14:textId="00636837" w:rsidR="00985F1A" w:rsidRPr="00985F1A" w:rsidRDefault="00985F1A" w:rsidP="00805854">
            <w:pPr>
              <w:spacing w:after="0"/>
              <w:rPr>
                <w:rFonts w:cs="Arial"/>
                <w:sz w:val="20"/>
                <w:szCs w:val="20"/>
              </w:rPr>
            </w:pPr>
            <w:r w:rsidRPr="00985F1A">
              <w:rPr>
                <w:rFonts w:cs="Calibri"/>
                <w:color w:val="000000"/>
                <w:sz w:val="20"/>
                <w:szCs w:val="20"/>
              </w:rPr>
              <w:t>Better national average EBacc Entry for all pupils</w:t>
            </w:r>
          </w:p>
        </w:tc>
        <w:tc>
          <w:tcPr>
            <w:tcW w:w="2438" w:type="dxa"/>
            <w:tcBorders>
              <w:bottom w:val="single" w:sz="4" w:space="0" w:color="auto"/>
            </w:tcBorders>
            <w:tcMar>
              <w:top w:w="57" w:type="dxa"/>
              <w:bottom w:w="57" w:type="dxa"/>
            </w:tcMar>
          </w:tcPr>
          <w:p w14:paraId="00A1BDE2" w14:textId="77777777" w:rsidR="00985F1A" w:rsidRPr="00985F1A" w:rsidRDefault="00985F1A" w:rsidP="00805854">
            <w:pPr>
              <w:spacing w:after="0"/>
              <w:rPr>
                <w:rFonts w:cs="Arial"/>
                <w:sz w:val="20"/>
                <w:szCs w:val="20"/>
              </w:rPr>
            </w:pPr>
            <w:r w:rsidRPr="00985F1A">
              <w:rPr>
                <w:rFonts w:cs="Arial"/>
                <w:sz w:val="20"/>
                <w:szCs w:val="20"/>
              </w:rPr>
              <w:t>Tighter control of setting.</w:t>
            </w:r>
          </w:p>
          <w:p w14:paraId="57FE278C" w14:textId="77777777" w:rsidR="00985F1A" w:rsidRPr="00985F1A" w:rsidRDefault="00985F1A" w:rsidP="00805854">
            <w:pPr>
              <w:spacing w:after="0"/>
              <w:rPr>
                <w:rFonts w:cs="Arial"/>
                <w:sz w:val="20"/>
                <w:szCs w:val="20"/>
              </w:rPr>
            </w:pPr>
            <w:r w:rsidRPr="00985F1A">
              <w:rPr>
                <w:rFonts w:cs="Arial"/>
                <w:sz w:val="20"/>
                <w:szCs w:val="20"/>
              </w:rPr>
              <w:t>Radification of sets.</w:t>
            </w:r>
          </w:p>
          <w:p w14:paraId="4C4000A9" w14:textId="77777777" w:rsidR="00985F1A" w:rsidRPr="00985F1A" w:rsidRDefault="00985F1A" w:rsidP="00805854">
            <w:pPr>
              <w:spacing w:after="0"/>
              <w:rPr>
                <w:rFonts w:cs="Arial"/>
                <w:sz w:val="20"/>
                <w:szCs w:val="20"/>
              </w:rPr>
            </w:pPr>
            <w:r w:rsidRPr="00985F1A">
              <w:rPr>
                <w:rFonts w:cs="Arial"/>
                <w:sz w:val="20"/>
                <w:szCs w:val="20"/>
              </w:rPr>
              <w:t>CPD for staff on raising aspirations and motivation of white British.</w:t>
            </w:r>
          </w:p>
          <w:p w14:paraId="4E66278A" w14:textId="5A8E5099" w:rsidR="00985F1A" w:rsidRPr="00985F1A" w:rsidRDefault="00985F1A" w:rsidP="00805854">
            <w:pPr>
              <w:spacing w:after="0"/>
              <w:rPr>
                <w:rStyle w:val="PlaceholderText"/>
                <w:color w:val="0D0D0D"/>
                <w:sz w:val="20"/>
                <w:szCs w:val="20"/>
              </w:rPr>
            </w:pPr>
            <w:r w:rsidRPr="00985F1A">
              <w:rPr>
                <w:rStyle w:val="PlaceholderText"/>
                <w:color w:val="0D0D0D"/>
                <w:sz w:val="20"/>
                <w:szCs w:val="20"/>
              </w:rPr>
              <w:t>Maximising the personal development of vulnerable students.</w:t>
            </w:r>
          </w:p>
          <w:p w14:paraId="20B6DF11" w14:textId="366C8078" w:rsidR="00985F1A" w:rsidRPr="00985F1A" w:rsidRDefault="00985F1A" w:rsidP="00805854">
            <w:pPr>
              <w:spacing w:after="0"/>
              <w:rPr>
                <w:rStyle w:val="PlaceholderText"/>
                <w:color w:val="0D0D0D"/>
                <w:sz w:val="20"/>
                <w:szCs w:val="20"/>
              </w:rPr>
            </w:pPr>
          </w:p>
          <w:p w14:paraId="7B89513C" w14:textId="3CBB09B5" w:rsidR="00985F1A" w:rsidRPr="00985F1A" w:rsidRDefault="00985F1A" w:rsidP="00805854">
            <w:pPr>
              <w:spacing w:after="0"/>
              <w:rPr>
                <w:rStyle w:val="PlaceholderText"/>
                <w:color w:val="0D0D0D"/>
                <w:sz w:val="20"/>
                <w:szCs w:val="20"/>
              </w:rPr>
            </w:pPr>
          </w:p>
          <w:p w14:paraId="6E7027AA" w14:textId="6B9408D7" w:rsidR="00985F1A" w:rsidRPr="00985F1A" w:rsidRDefault="00985F1A" w:rsidP="00805854">
            <w:pPr>
              <w:spacing w:after="0"/>
              <w:rPr>
                <w:rStyle w:val="PlaceholderText"/>
                <w:color w:val="0D0D0D"/>
                <w:sz w:val="20"/>
                <w:szCs w:val="20"/>
              </w:rPr>
            </w:pPr>
          </w:p>
          <w:p w14:paraId="2924148C" w14:textId="77777777" w:rsidR="00985F1A" w:rsidRPr="00985F1A" w:rsidRDefault="00985F1A" w:rsidP="00805854">
            <w:pPr>
              <w:spacing w:after="0"/>
              <w:rPr>
                <w:rStyle w:val="PlaceholderText"/>
                <w:color w:val="0D0D0D"/>
                <w:sz w:val="20"/>
                <w:szCs w:val="20"/>
              </w:rPr>
            </w:pPr>
          </w:p>
          <w:p w14:paraId="4007B24C" w14:textId="77777777" w:rsidR="00985F1A" w:rsidRPr="00985F1A" w:rsidRDefault="00985F1A" w:rsidP="00805854">
            <w:pPr>
              <w:spacing w:after="0"/>
              <w:rPr>
                <w:rStyle w:val="PlaceholderText"/>
                <w:color w:val="0D0D0D"/>
                <w:sz w:val="20"/>
                <w:szCs w:val="20"/>
              </w:rPr>
            </w:pPr>
            <w:r w:rsidRPr="00985F1A">
              <w:rPr>
                <w:rStyle w:val="PlaceholderText"/>
                <w:color w:val="0D0D0D"/>
                <w:sz w:val="20"/>
                <w:szCs w:val="20"/>
              </w:rPr>
              <w:t xml:space="preserve"> without much support from home.</w:t>
            </w:r>
          </w:p>
          <w:p w14:paraId="68992992" w14:textId="024FED4C" w:rsidR="00985F1A" w:rsidRPr="00985F1A" w:rsidRDefault="00985F1A" w:rsidP="00805854">
            <w:pPr>
              <w:spacing w:after="0"/>
              <w:rPr>
                <w:rFonts w:cs="Arial"/>
                <w:sz w:val="20"/>
                <w:szCs w:val="20"/>
              </w:rPr>
            </w:pPr>
            <w:r w:rsidRPr="00985F1A">
              <w:rPr>
                <w:rStyle w:val="PlaceholderText"/>
                <w:color w:val="auto"/>
                <w:sz w:val="20"/>
                <w:szCs w:val="20"/>
              </w:rPr>
              <w:t>The development of a programme of character education.</w:t>
            </w:r>
          </w:p>
        </w:tc>
        <w:tc>
          <w:tcPr>
            <w:tcW w:w="4366" w:type="dxa"/>
            <w:tcBorders>
              <w:bottom w:val="single" w:sz="4" w:space="0" w:color="auto"/>
            </w:tcBorders>
            <w:tcMar>
              <w:top w:w="57" w:type="dxa"/>
              <w:bottom w:w="57" w:type="dxa"/>
            </w:tcMar>
          </w:tcPr>
          <w:p w14:paraId="4F4F2E5C" w14:textId="77777777" w:rsidR="00985F1A" w:rsidRPr="00985F1A" w:rsidRDefault="00985F1A" w:rsidP="00805854">
            <w:pPr>
              <w:spacing w:after="0"/>
              <w:rPr>
                <w:rFonts w:cs="Arial"/>
                <w:sz w:val="20"/>
                <w:szCs w:val="20"/>
              </w:rPr>
            </w:pPr>
            <w:r w:rsidRPr="00985F1A">
              <w:rPr>
                <w:rFonts w:cs="Arial"/>
                <w:sz w:val="20"/>
                <w:szCs w:val="20"/>
              </w:rPr>
              <w:t>25% English and maths 2020 significantly under with a gap of 19%.</w:t>
            </w:r>
          </w:p>
          <w:p w14:paraId="2BB270A4" w14:textId="77777777" w:rsidR="00985F1A" w:rsidRPr="00985F1A" w:rsidRDefault="00985F1A" w:rsidP="00805854">
            <w:pPr>
              <w:spacing w:after="0"/>
              <w:rPr>
                <w:rFonts w:cs="Arial"/>
                <w:sz w:val="20"/>
                <w:szCs w:val="20"/>
              </w:rPr>
            </w:pPr>
            <w:r w:rsidRPr="00985F1A">
              <w:rPr>
                <w:rFonts w:cs="Arial"/>
                <w:sz w:val="20"/>
                <w:szCs w:val="20"/>
              </w:rPr>
              <w:t>2019 16.9% with a gap of 29.6%</w:t>
            </w:r>
          </w:p>
          <w:p w14:paraId="77981FA9" w14:textId="77777777" w:rsidR="00985F1A" w:rsidRPr="00985F1A" w:rsidRDefault="00985F1A" w:rsidP="00805854">
            <w:pPr>
              <w:spacing w:after="0"/>
              <w:rPr>
                <w:rFonts w:cs="Arial"/>
                <w:sz w:val="20"/>
                <w:szCs w:val="20"/>
              </w:rPr>
            </w:pPr>
            <w:r w:rsidRPr="00985F1A">
              <w:rPr>
                <w:rFonts w:cs="Arial"/>
                <w:sz w:val="20"/>
                <w:szCs w:val="20"/>
              </w:rPr>
              <w:t>2020 34.2% entered for EBacc, significantly under with a gap of 5.8%</w:t>
            </w:r>
          </w:p>
          <w:p w14:paraId="56DCC1BF" w14:textId="22039FAA" w:rsidR="00985F1A" w:rsidRPr="00985F1A" w:rsidRDefault="00985F1A" w:rsidP="00805854">
            <w:pPr>
              <w:spacing w:after="0"/>
              <w:rPr>
                <w:rFonts w:cs="Arial"/>
                <w:sz w:val="20"/>
                <w:szCs w:val="20"/>
              </w:rPr>
            </w:pPr>
            <w:r w:rsidRPr="00985F1A">
              <w:rPr>
                <w:rFonts w:cs="Arial"/>
                <w:sz w:val="20"/>
                <w:szCs w:val="20"/>
              </w:rPr>
              <w:t>2019 21.1% with a gap of 29.3%</w:t>
            </w:r>
          </w:p>
        </w:tc>
        <w:tc>
          <w:tcPr>
            <w:tcW w:w="5415" w:type="dxa"/>
            <w:tcBorders>
              <w:bottom w:val="single" w:sz="4" w:space="0" w:color="auto"/>
            </w:tcBorders>
            <w:tcMar>
              <w:top w:w="57" w:type="dxa"/>
              <w:bottom w:w="57" w:type="dxa"/>
            </w:tcMar>
          </w:tcPr>
          <w:p w14:paraId="143C4A58" w14:textId="77777777" w:rsidR="00985F1A" w:rsidRPr="00985F1A" w:rsidRDefault="00985F1A" w:rsidP="00805854">
            <w:pPr>
              <w:spacing w:after="0"/>
              <w:rPr>
                <w:rFonts w:cs="Arial"/>
                <w:sz w:val="20"/>
                <w:szCs w:val="20"/>
              </w:rPr>
            </w:pPr>
            <w:r w:rsidRPr="00985F1A">
              <w:rPr>
                <w:rFonts w:cs="Arial"/>
                <w:sz w:val="20"/>
                <w:szCs w:val="20"/>
              </w:rPr>
              <w:t>Increased confidence of staff in use of exam criteria and scaffolding the development of students’ ability to respond appropriately to assessments.</w:t>
            </w:r>
          </w:p>
          <w:p w14:paraId="0D3F90B3" w14:textId="77777777" w:rsidR="00985F1A" w:rsidRPr="00985F1A" w:rsidRDefault="00985F1A" w:rsidP="00805854">
            <w:pPr>
              <w:spacing w:after="0"/>
              <w:rPr>
                <w:rFonts w:cs="Arial"/>
                <w:sz w:val="20"/>
                <w:szCs w:val="20"/>
              </w:rPr>
            </w:pPr>
            <w:r w:rsidRPr="00985F1A">
              <w:rPr>
                <w:rFonts w:cs="Arial"/>
                <w:sz w:val="20"/>
                <w:szCs w:val="20"/>
              </w:rPr>
              <w:t>See above for CPD strategies which have allowed subjects to build expertise and improved retention.</w:t>
            </w:r>
          </w:p>
          <w:p w14:paraId="6E0191F4" w14:textId="035E6E69" w:rsidR="00985F1A" w:rsidRPr="00985F1A" w:rsidRDefault="00985F1A" w:rsidP="00805854">
            <w:pPr>
              <w:spacing w:after="0"/>
              <w:rPr>
                <w:rFonts w:cs="Arial"/>
                <w:sz w:val="20"/>
                <w:szCs w:val="20"/>
              </w:rPr>
            </w:pPr>
            <w:r w:rsidRPr="00985F1A">
              <w:rPr>
                <w:rFonts w:cs="Arial"/>
                <w:sz w:val="20"/>
                <w:szCs w:val="20"/>
              </w:rPr>
              <w:t>Radification of setting established in year 7 in 2018 will further balance the EBacc entries moving forward.</w:t>
            </w:r>
          </w:p>
        </w:tc>
        <w:tc>
          <w:tcPr>
            <w:tcW w:w="1247" w:type="dxa"/>
            <w:vMerge w:val="restart"/>
          </w:tcPr>
          <w:p w14:paraId="4D49281D" w14:textId="78BBD911" w:rsidR="00985F1A" w:rsidRPr="00985F1A" w:rsidRDefault="00985F1A" w:rsidP="00805854">
            <w:pPr>
              <w:spacing w:after="0"/>
              <w:rPr>
                <w:rFonts w:cs="Arial"/>
                <w:sz w:val="20"/>
                <w:szCs w:val="20"/>
              </w:rPr>
            </w:pPr>
            <w:r w:rsidRPr="00985F1A">
              <w:rPr>
                <w:rFonts w:cs="Arial"/>
                <w:sz w:val="20"/>
                <w:szCs w:val="20"/>
              </w:rPr>
              <w:t>£59,690</w:t>
            </w:r>
          </w:p>
        </w:tc>
      </w:tr>
      <w:tr w:rsidR="00985F1A" w14:paraId="519A25A6" w14:textId="77777777" w:rsidTr="00BD117A">
        <w:trPr>
          <w:trHeight w:hRule="exact" w:val="3895"/>
        </w:trPr>
        <w:tc>
          <w:tcPr>
            <w:tcW w:w="2093" w:type="dxa"/>
            <w:tcBorders>
              <w:top w:val="single" w:sz="4" w:space="0" w:color="auto"/>
              <w:left w:val="single" w:sz="4" w:space="0" w:color="auto"/>
              <w:bottom w:val="single" w:sz="4" w:space="0" w:color="auto"/>
              <w:right w:val="single" w:sz="4" w:space="0" w:color="BFBFBF"/>
            </w:tcBorders>
            <w:shd w:val="clear" w:color="auto" w:fill="auto"/>
            <w:tcMar>
              <w:top w:w="57" w:type="dxa"/>
              <w:bottom w:w="57" w:type="dxa"/>
            </w:tcMar>
          </w:tcPr>
          <w:p w14:paraId="28CB18E0" w14:textId="384047BC" w:rsidR="00985F1A" w:rsidRPr="00985F1A" w:rsidRDefault="00985F1A" w:rsidP="00805854">
            <w:pPr>
              <w:spacing w:after="0"/>
              <w:rPr>
                <w:rFonts w:cs="Arial"/>
                <w:sz w:val="20"/>
                <w:szCs w:val="20"/>
              </w:rPr>
            </w:pPr>
            <w:r w:rsidRPr="00985F1A">
              <w:rPr>
                <w:rFonts w:cs="Arial"/>
                <w:color w:val="000000"/>
                <w:sz w:val="20"/>
                <w:szCs w:val="20"/>
              </w:rPr>
              <w:lastRenderedPageBreak/>
              <w:t>Improve attendance to national average</w:t>
            </w:r>
          </w:p>
        </w:tc>
        <w:tc>
          <w:tcPr>
            <w:tcW w:w="2438" w:type="dxa"/>
            <w:tcBorders>
              <w:top w:val="single" w:sz="4" w:space="0" w:color="auto"/>
              <w:bottom w:val="single" w:sz="4" w:space="0" w:color="auto"/>
            </w:tcBorders>
            <w:tcMar>
              <w:top w:w="57" w:type="dxa"/>
              <w:bottom w:w="57" w:type="dxa"/>
            </w:tcMar>
          </w:tcPr>
          <w:p w14:paraId="709A79C8" w14:textId="0B9774F4" w:rsidR="00985F1A" w:rsidRPr="00985F1A" w:rsidRDefault="00985F1A" w:rsidP="00805854">
            <w:pPr>
              <w:spacing w:after="0"/>
              <w:rPr>
                <w:rFonts w:cs="Arial"/>
                <w:sz w:val="20"/>
                <w:szCs w:val="20"/>
              </w:rPr>
            </w:pPr>
            <w:r w:rsidRPr="00985F1A">
              <w:rPr>
                <w:rFonts w:cs="Arial"/>
                <w:sz w:val="20"/>
                <w:szCs w:val="20"/>
              </w:rPr>
              <w:t>In</w:t>
            </w:r>
            <w:r w:rsidR="00BD117A">
              <w:rPr>
                <w:rFonts w:cs="Arial"/>
                <w:sz w:val="20"/>
                <w:szCs w:val="20"/>
              </w:rPr>
              <w:t xml:space="preserve">vestment in support staff – </w:t>
            </w:r>
            <w:r w:rsidRPr="00985F1A">
              <w:rPr>
                <w:rFonts w:cs="Arial"/>
                <w:sz w:val="20"/>
                <w:szCs w:val="20"/>
              </w:rPr>
              <w:t>attendance officers, STEPs, SWMs, Safeguarding team.</w:t>
            </w:r>
          </w:p>
          <w:p w14:paraId="1286004D" w14:textId="322DB2E6" w:rsidR="00985F1A" w:rsidRPr="00985F1A" w:rsidRDefault="00BD117A" w:rsidP="00805854">
            <w:pPr>
              <w:spacing w:after="0"/>
              <w:rPr>
                <w:rFonts w:cs="Arial"/>
                <w:sz w:val="20"/>
                <w:szCs w:val="20"/>
              </w:rPr>
            </w:pPr>
            <w:r>
              <w:rPr>
                <w:rFonts w:cs="Arial"/>
                <w:sz w:val="20"/>
                <w:szCs w:val="20"/>
              </w:rPr>
              <w:t>T</w:t>
            </w:r>
            <w:r w:rsidR="00985F1A" w:rsidRPr="00985F1A">
              <w:rPr>
                <w:rFonts w:cs="Arial"/>
                <w:sz w:val="20"/>
                <w:szCs w:val="20"/>
              </w:rPr>
              <w:t>utor teams</w:t>
            </w:r>
            <w:r>
              <w:rPr>
                <w:rFonts w:cs="Arial"/>
                <w:sz w:val="20"/>
                <w:szCs w:val="20"/>
              </w:rPr>
              <w:t xml:space="preserve"> CPD</w:t>
            </w:r>
          </w:p>
        </w:tc>
        <w:tc>
          <w:tcPr>
            <w:tcW w:w="4366" w:type="dxa"/>
            <w:tcBorders>
              <w:top w:val="single" w:sz="4" w:space="0" w:color="auto"/>
              <w:bottom w:val="single" w:sz="4" w:space="0" w:color="auto"/>
            </w:tcBorders>
            <w:tcMar>
              <w:top w:w="57" w:type="dxa"/>
              <w:bottom w:w="57" w:type="dxa"/>
            </w:tcMar>
          </w:tcPr>
          <w:p w14:paraId="42DC193C" w14:textId="3ECDA073" w:rsidR="00985F1A" w:rsidRPr="00C61159" w:rsidRDefault="00985F1A" w:rsidP="00C61159">
            <w:pPr>
              <w:shd w:val="clear" w:color="auto" w:fill="FFFFFF"/>
              <w:spacing w:after="0" w:line="240" w:lineRule="auto"/>
              <w:textAlignment w:val="baseline"/>
              <w:rPr>
                <w:rFonts w:cs="Arial"/>
                <w:color w:val="000000"/>
                <w:sz w:val="20"/>
                <w:szCs w:val="20"/>
              </w:rPr>
            </w:pPr>
            <w:r>
              <w:rPr>
                <w:rFonts w:cs="Arial"/>
                <w:color w:val="000000"/>
                <w:sz w:val="20"/>
                <w:szCs w:val="20"/>
              </w:rPr>
              <w:t>20</w:t>
            </w:r>
            <w:r w:rsidRPr="00C61159">
              <w:rPr>
                <w:rFonts w:cs="Arial"/>
                <w:color w:val="000000"/>
                <w:sz w:val="20"/>
                <w:szCs w:val="20"/>
              </w:rPr>
              <w:t>18-19</w:t>
            </w:r>
          </w:p>
          <w:p w14:paraId="10C0F9D4" w14:textId="77777777" w:rsidR="00985F1A" w:rsidRPr="00C61159" w:rsidRDefault="00985F1A" w:rsidP="00C61159">
            <w:pPr>
              <w:shd w:val="clear" w:color="auto" w:fill="FFFFFF"/>
              <w:spacing w:after="0" w:line="240" w:lineRule="auto"/>
              <w:textAlignment w:val="baseline"/>
              <w:rPr>
                <w:rFonts w:cs="Arial"/>
                <w:color w:val="000000"/>
                <w:sz w:val="20"/>
                <w:szCs w:val="20"/>
              </w:rPr>
            </w:pPr>
          </w:p>
          <w:p w14:paraId="563CE420" w14:textId="77777777" w:rsidR="00985F1A" w:rsidRPr="00C61159" w:rsidRDefault="00985F1A" w:rsidP="00C61159">
            <w:pPr>
              <w:shd w:val="clear" w:color="auto" w:fill="FFFFFF"/>
              <w:spacing w:after="0" w:line="240" w:lineRule="auto"/>
              <w:textAlignment w:val="baseline"/>
              <w:rPr>
                <w:rFonts w:cs="Arial"/>
                <w:color w:val="000000"/>
                <w:sz w:val="20"/>
                <w:szCs w:val="20"/>
              </w:rPr>
            </w:pPr>
            <w:r w:rsidRPr="00C61159">
              <w:rPr>
                <w:rFonts w:cs="Arial"/>
                <w:color w:val="000000"/>
                <w:sz w:val="20"/>
                <w:szCs w:val="20"/>
              </w:rPr>
              <w:t>PP attendance = 94.17</w:t>
            </w:r>
          </w:p>
          <w:p w14:paraId="79087C9C" w14:textId="77777777" w:rsidR="00985F1A" w:rsidRPr="00C61159" w:rsidRDefault="00985F1A" w:rsidP="00C61159">
            <w:pPr>
              <w:shd w:val="clear" w:color="auto" w:fill="FFFFFF"/>
              <w:spacing w:after="0" w:line="240" w:lineRule="auto"/>
              <w:textAlignment w:val="baseline"/>
              <w:rPr>
                <w:rFonts w:cs="Arial"/>
                <w:color w:val="000000"/>
                <w:sz w:val="20"/>
                <w:szCs w:val="20"/>
              </w:rPr>
            </w:pPr>
            <w:r w:rsidRPr="00C61159">
              <w:rPr>
                <w:rFonts w:cs="Arial"/>
                <w:color w:val="000000"/>
                <w:sz w:val="20"/>
                <w:szCs w:val="20"/>
              </w:rPr>
              <w:t>Non PP attendance = 96.51</w:t>
            </w:r>
          </w:p>
          <w:p w14:paraId="55A15678" w14:textId="77777777" w:rsidR="00985F1A" w:rsidRPr="00C61159" w:rsidRDefault="00985F1A" w:rsidP="00C61159">
            <w:pPr>
              <w:shd w:val="clear" w:color="auto" w:fill="FFFFFF"/>
              <w:spacing w:after="0" w:line="240" w:lineRule="auto"/>
              <w:textAlignment w:val="baseline"/>
              <w:rPr>
                <w:rFonts w:cs="Arial"/>
                <w:color w:val="000000"/>
                <w:sz w:val="20"/>
                <w:szCs w:val="20"/>
              </w:rPr>
            </w:pPr>
            <w:r w:rsidRPr="00C61159">
              <w:rPr>
                <w:rFonts w:cs="Arial"/>
                <w:color w:val="000000"/>
                <w:sz w:val="20"/>
                <w:szCs w:val="20"/>
              </w:rPr>
              <w:t>PP attendance Sandwell = 93.89</w:t>
            </w:r>
          </w:p>
          <w:p w14:paraId="297F25B8" w14:textId="77777777" w:rsidR="00985F1A" w:rsidRPr="00C61159" w:rsidRDefault="00985F1A" w:rsidP="00C61159">
            <w:pPr>
              <w:shd w:val="clear" w:color="auto" w:fill="FFFFFF"/>
              <w:spacing w:after="0" w:line="240" w:lineRule="auto"/>
              <w:textAlignment w:val="baseline"/>
              <w:rPr>
                <w:rFonts w:cs="Arial"/>
                <w:color w:val="000000"/>
                <w:sz w:val="20"/>
                <w:szCs w:val="20"/>
              </w:rPr>
            </w:pPr>
            <w:r w:rsidRPr="00C61159">
              <w:rPr>
                <w:rFonts w:cs="Arial"/>
                <w:color w:val="000000"/>
                <w:sz w:val="20"/>
                <w:szCs w:val="20"/>
              </w:rPr>
              <w:t>PP attendance National = 94.5</w:t>
            </w:r>
          </w:p>
          <w:p w14:paraId="0DD6BB72" w14:textId="77777777" w:rsidR="00985F1A" w:rsidRPr="00C61159" w:rsidRDefault="00985F1A" w:rsidP="00C61159">
            <w:pPr>
              <w:shd w:val="clear" w:color="auto" w:fill="FFFFFF"/>
              <w:spacing w:after="0" w:line="240" w:lineRule="auto"/>
              <w:textAlignment w:val="baseline"/>
              <w:rPr>
                <w:rFonts w:cs="Arial"/>
                <w:color w:val="000000"/>
                <w:sz w:val="20"/>
                <w:szCs w:val="20"/>
              </w:rPr>
            </w:pPr>
            <w:r w:rsidRPr="00C61159">
              <w:rPr>
                <w:rFonts w:cs="Arial"/>
                <w:color w:val="000000"/>
                <w:sz w:val="20"/>
                <w:szCs w:val="20"/>
              </w:rPr>
              <w:t>GSA attendance = 95.57</w:t>
            </w:r>
          </w:p>
          <w:p w14:paraId="0154C5FE" w14:textId="77777777" w:rsidR="00985F1A" w:rsidRPr="00C61159" w:rsidRDefault="00985F1A" w:rsidP="00C61159">
            <w:pPr>
              <w:shd w:val="clear" w:color="auto" w:fill="FFFFFF"/>
              <w:spacing w:after="0" w:line="240" w:lineRule="auto"/>
              <w:textAlignment w:val="baseline"/>
              <w:rPr>
                <w:rFonts w:cs="Arial"/>
                <w:color w:val="000000"/>
                <w:sz w:val="20"/>
                <w:szCs w:val="20"/>
              </w:rPr>
            </w:pPr>
            <w:r w:rsidRPr="00C61159">
              <w:rPr>
                <w:rFonts w:cs="Arial"/>
                <w:color w:val="000000"/>
                <w:sz w:val="20"/>
                <w:szCs w:val="20"/>
              </w:rPr>
              <w:t>19-20 (internal data with no national data yet available)</w:t>
            </w:r>
          </w:p>
          <w:p w14:paraId="2C3C5FC4" w14:textId="77777777" w:rsidR="00985F1A" w:rsidRPr="00C61159" w:rsidRDefault="00985F1A" w:rsidP="00C61159">
            <w:pPr>
              <w:shd w:val="clear" w:color="auto" w:fill="FFFFFF"/>
              <w:spacing w:after="0" w:line="240" w:lineRule="auto"/>
              <w:textAlignment w:val="baseline"/>
              <w:rPr>
                <w:rFonts w:cs="Arial"/>
                <w:color w:val="000000"/>
                <w:sz w:val="20"/>
                <w:szCs w:val="20"/>
              </w:rPr>
            </w:pPr>
          </w:p>
          <w:p w14:paraId="2332BF69" w14:textId="6FDD73CC" w:rsidR="00985F1A" w:rsidRPr="00C61159" w:rsidRDefault="00985F1A" w:rsidP="00C61159">
            <w:pPr>
              <w:shd w:val="clear" w:color="auto" w:fill="FFFFFF"/>
              <w:spacing w:after="0" w:line="240" w:lineRule="auto"/>
              <w:textAlignment w:val="baseline"/>
              <w:rPr>
                <w:rFonts w:cs="Arial"/>
                <w:color w:val="000000"/>
                <w:sz w:val="20"/>
                <w:szCs w:val="20"/>
              </w:rPr>
            </w:pPr>
            <w:r>
              <w:rPr>
                <w:rFonts w:cs="Arial"/>
                <w:color w:val="000000"/>
                <w:sz w:val="20"/>
                <w:szCs w:val="20"/>
              </w:rPr>
              <w:t xml:space="preserve">2019-20 </w:t>
            </w:r>
            <w:r w:rsidRPr="00C61159">
              <w:rPr>
                <w:rFonts w:cs="Arial"/>
                <w:color w:val="000000"/>
                <w:sz w:val="20"/>
                <w:szCs w:val="20"/>
              </w:rPr>
              <w:t>PP attendance = 92</w:t>
            </w:r>
          </w:p>
          <w:p w14:paraId="6CE5E457" w14:textId="77777777" w:rsidR="00985F1A" w:rsidRPr="00C61159" w:rsidRDefault="00985F1A" w:rsidP="00C61159">
            <w:pPr>
              <w:shd w:val="clear" w:color="auto" w:fill="FFFFFF"/>
              <w:spacing w:after="0" w:line="240" w:lineRule="auto"/>
              <w:textAlignment w:val="baseline"/>
              <w:rPr>
                <w:rFonts w:cs="Arial"/>
                <w:color w:val="000000"/>
                <w:sz w:val="20"/>
                <w:szCs w:val="20"/>
              </w:rPr>
            </w:pPr>
            <w:r w:rsidRPr="00C61159">
              <w:rPr>
                <w:rFonts w:cs="Arial"/>
                <w:color w:val="000000"/>
                <w:sz w:val="20"/>
                <w:szCs w:val="20"/>
              </w:rPr>
              <w:t>Non PP attendance = 95.7</w:t>
            </w:r>
          </w:p>
          <w:p w14:paraId="39C642EB" w14:textId="4CAA05D0" w:rsidR="00985F1A" w:rsidRPr="00985F1A" w:rsidRDefault="00985F1A" w:rsidP="00985F1A">
            <w:pPr>
              <w:shd w:val="clear" w:color="auto" w:fill="FFFFFF"/>
              <w:spacing w:after="0" w:line="240" w:lineRule="auto"/>
              <w:textAlignment w:val="baseline"/>
              <w:rPr>
                <w:rFonts w:cs="Arial"/>
                <w:color w:val="000000"/>
                <w:sz w:val="20"/>
                <w:szCs w:val="20"/>
              </w:rPr>
            </w:pPr>
            <w:r w:rsidRPr="00C61159">
              <w:rPr>
                <w:rFonts w:cs="Arial"/>
                <w:color w:val="000000"/>
                <w:sz w:val="20"/>
                <w:szCs w:val="20"/>
              </w:rPr>
              <w:t>GSA attendance = 95.74</w:t>
            </w:r>
          </w:p>
        </w:tc>
        <w:tc>
          <w:tcPr>
            <w:tcW w:w="5415" w:type="dxa"/>
            <w:tcBorders>
              <w:top w:val="single" w:sz="4" w:space="0" w:color="auto"/>
              <w:bottom w:val="single" w:sz="4" w:space="0" w:color="auto"/>
            </w:tcBorders>
            <w:tcMar>
              <w:top w:w="57" w:type="dxa"/>
              <w:bottom w:w="57" w:type="dxa"/>
            </w:tcMar>
          </w:tcPr>
          <w:p w14:paraId="06020D03" w14:textId="2AB92404" w:rsidR="00985F1A" w:rsidRPr="00985F1A" w:rsidRDefault="00BD117A" w:rsidP="00805854">
            <w:pPr>
              <w:spacing w:after="0"/>
              <w:rPr>
                <w:rFonts w:cs="Arial"/>
                <w:sz w:val="20"/>
                <w:szCs w:val="20"/>
              </w:rPr>
            </w:pPr>
            <w:r>
              <w:rPr>
                <w:rFonts w:cs="Arial"/>
                <w:sz w:val="20"/>
                <w:szCs w:val="20"/>
              </w:rPr>
              <w:t xml:space="preserve">COVID </w:t>
            </w:r>
            <w:r w:rsidR="00985F1A" w:rsidRPr="00985F1A">
              <w:rPr>
                <w:rFonts w:cs="Arial"/>
                <w:sz w:val="20"/>
                <w:szCs w:val="20"/>
              </w:rPr>
              <w:t>was a major issue in terms of meeting this objective but we are confident the steps implemented were having impact so will continue.</w:t>
            </w:r>
          </w:p>
        </w:tc>
        <w:tc>
          <w:tcPr>
            <w:tcW w:w="1247" w:type="dxa"/>
            <w:vMerge/>
            <w:tcBorders>
              <w:bottom w:val="single" w:sz="4" w:space="0" w:color="auto"/>
            </w:tcBorders>
          </w:tcPr>
          <w:p w14:paraId="17B9E530" w14:textId="77777777" w:rsidR="00985F1A" w:rsidRDefault="00985F1A" w:rsidP="00805854">
            <w:pPr>
              <w:spacing w:after="0"/>
              <w:rPr>
                <w:rFonts w:cs="Arial"/>
              </w:rPr>
            </w:pPr>
          </w:p>
        </w:tc>
      </w:tr>
    </w:tbl>
    <w:p w14:paraId="3B264A7C" w14:textId="77777777" w:rsidR="006431E0" w:rsidRDefault="006431E0">
      <w:r>
        <w:br w:type="page"/>
      </w:r>
    </w:p>
    <w:p w14:paraId="3C6E6421" w14:textId="77777777" w:rsidR="00531CFD" w:rsidRPr="005F7DBE" w:rsidRDefault="00531CFD" w:rsidP="00671FA2">
      <w:pPr>
        <w:pStyle w:val="Heading1"/>
        <w:rPr>
          <w:rFonts w:eastAsia="Arial"/>
          <w:spacing w:val="-5"/>
          <w:sz w:val="2"/>
          <w:szCs w:val="2"/>
        </w:rPr>
        <w:sectPr w:rsidR="00531CFD" w:rsidRPr="005F7DBE" w:rsidSect="00531CFD">
          <w:footerReference w:type="default" r:id="rId14"/>
          <w:headerReference w:type="first" r:id="rId15"/>
          <w:pgSz w:w="16840" w:h="11920" w:orient="landscape"/>
          <w:pgMar w:top="426" w:right="1038" w:bottom="284" w:left="958" w:header="0" w:footer="560" w:gutter="0"/>
          <w:cols w:space="720"/>
        </w:sectPr>
      </w:pPr>
      <w:bookmarkStart w:id="3" w:name="_Toc449687249"/>
    </w:p>
    <w:bookmarkEnd w:id="1"/>
    <w:bookmarkEnd w:id="3"/>
    <w:p w14:paraId="451E048F" w14:textId="77777777" w:rsidR="009F41B6" w:rsidRPr="005F7DBE" w:rsidRDefault="009F41B6" w:rsidP="005F7DBE">
      <w:pPr>
        <w:pStyle w:val="Heading1"/>
        <w:rPr>
          <w:sz w:val="2"/>
          <w:szCs w:val="2"/>
        </w:rPr>
      </w:pPr>
    </w:p>
    <w:sectPr w:rsidR="009F41B6" w:rsidRPr="005F7DBE" w:rsidSect="00BD4A45">
      <w:headerReference w:type="even" r:id="rId16"/>
      <w:headerReference w:type="default" r:id="rId17"/>
      <w:footerReference w:type="default" r:id="rId18"/>
      <w:headerReference w:type="first" r:id="rId19"/>
      <w:pgSz w:w="16840" w:h="11920" w:orient="landscape"/>
      <w:pgMar w:top="1162" w:right="1038" w:bottom="1503" w:left="958" w:header="0" w:footer="5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C51472" w14:textId="77777777" w:rsidR="00F21AEB" w:rsidRDefault="00F21AEB" w:rsidP="009F41B6">
      <w:r>
        <w:separator/>
      </w:r>
    </w:p>
    <w:p w14:paraId="5CAE20D2" w14:textId="77777777" w:rsidR="00F21AEB" w:rsidRDefault="00F21AEB" w:rsidP="009F41B6"/>
  </w:endnote>
  <w:endnote w:type="continuationSeparator" w:id="0">
    <w:p w14:paraId="414706CE" w14:textId="77777777" w:rsidR="00F21AEB" w:rsidRDefault="00F21AEB" w:rsidP="009F41B6">
      <w:r>
        <w:continuationSeparator/>
      </w:r>
    </w:p>
    <w:p w14:paraId="5CDCF1FD" w14:textId="77777777" w:rsidR="00F21AEB" w:rsidRDefault="00F21AEB" w:rsidP="009F41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2D78C9" w14:textId="77777777" w:rsidR="00F21AEB" w:rsidRPr="00531CFD" w:rsidRDefault="00F21AEB">
    <w:pPr>
      <w:spacing w:after="0" w:line="200" w:lineRule="exact"/>
      <w:rPr>
        <w:sz w:val="4"/>
        <w:szCs w:val="4"/>
      </w:rPr>
    </w:pPr>
    <w:r w:rsidRPr="00531CFD">
      <w:rPr>
        <w:noProof/>
        <w:sz w:val="4"/>
        <w:szCs w:val="4"/>
      </w:rPr>
      <mc:AlternateContent>
        <mc:Choice Requires="wps">
          <w:drawing>
            <wp:anchor distT="0" distB="0" distL="114300" distR="114300" simplePos="0" relativeHeight="251659264" behindDoc="1" locked="0" layoutInCell="1" allowOverlap="1" wp14:anchorId="2FAF1E26" wp14:editId="6C245C96">
              <wp:simplePos x="0" y="0"/>
              <wp:positionH relativeFrom="page">
                <wp:posOffset>3649980</wp:posOffset>
              </wp:positionH>
              <wp:positionV relativeFrom="page">
                <wp:posOffset>10069830</wp:posOffset>
              </wp:positionV>
              <wp:extent cx="222250" cy="177800"/>
              <wp:effectExtent l="1905" t="1905" r="4445" b="1270"/>
              <wp:wrapNone/>
              <wp:docPr id="472" name="Text Box 4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25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4883DA" w14:textId="74C2DDA6" w:rsidR="00F21AEB" w:rsidRDefault="00F21AEB">
                          <w:pPr>
                            <w:spacing w:after="0" w:line="265" w:lineRule="exact"/>
                            <w:ind w:left="41" w:right="-20"/>
                            <w:rPr>
                              <w:rFonts w:eastAsia="Arial" w:cs="Arial"/>
                            </w:rPr>
                          </w:pPr>
                          <w:r>
                            <w:fldChar w:fldCharType="begin"/>
                          </w:r>
                          <w:r>
                            <w:rPr>
                              <w:rFonts w:eastAsia="Arial" w:cs="Arial"/>
                              <w:color w:val="050505"/>
                            </w:rPr>
                            <w:instrText xml:space="preserve"> PAGE </w:instrText>
                          </w:r>
                          <w:r>
                            <w:fldChar w:fldCharType="separate"/>
                          </w:r>
                          <w:r w:rsidR="00BD117A">
                            <w:rPr>
                              <w:rFonts w:eastAsia="Arial" w:cs="Arial"/>
                              <w:noProof/>
                              <w:color w:val="050505"/>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AF1E26" id="_x0000_t202" coordsize="21600,21600" o:spt="202" path="m,l,21600r21600,l21600,xe">
              <v:stroke joinstyle="miter"/>
              <v:path gradientshapeok="t" o:connecttype="rect"/>
            </v:shapetype>
            <v:shape id="Text Box 472" o:spid="_x0000_s1026" type="#_x0000_t202" style="position:absolute;margin-left:287.4pt;margin-top:792.9pt;width:17.5pt;height:1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" filled="f" stroked="f">
              <v:textbox inset="0,0,0,0">
                <w:txbxContent>
                  <w:p w14:paraId="354883DA" w14:textId="74C2DDA6" w:rsidR="00F21AEB" w:rsidRDefault="00F21AEB">
                    <w:pPr>
                      <w:spacing w:after="0" w:line="265" w:lineRule="exact"/>
                      <w:ind w:left="41" w:right="-20"/>
                      <w:rPr>
                        <w:rFonts w:eastAsia="Arial" w:cs="Arial"/>
                      </w:rPr>
                    </w:pPr>
                    <w:r>
                      <w:fldChar w:fldCharType="begin"/>
                    </w:r>
                    <w:r>
                      <w:rPr>
                        <w:rFonts w:eastAsia="Arial" w:cs="Arial"/>
                        <w:color w:val="050505"/>
                      </w:rPr>
                      <w:instrText xml:space="preserve"> PAGE </w:instrText>
                    </w:r>
                    <w:r>
                      <w:fldChar w:fldCharType="separate"/>
                    </w:r>
                    <w:r w:rsidR="00BD117A">
                      <w:rPr>
                        <w:rFonts w:eastAsia="Arial" w:cs="Arial"/>
                        <w:noProof/>
                        <w:color w:val="050505"/>
                      </w:rP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5916308"/>
      <w:docPartObj>
        <w:docPartGallery w:val="Page Numbers (Bottom of Page)"/>
        <w:docPartUnique/>
      </w:docPartObj>
    </w:sdtPr>
    <w:sdtEndPr>
      <w:rPr>
        <w:noProof/>
      </w:rPr>
    </w:sdtEndPr>
    <w:sdtContent>
      <w:p w14:paraId="10815C55" w14:textId="382B5681" w:rsidR="00F21AEB" w:rsidRDefault="00F21AEB" w:rsidP="00B929B0">
        <w:pPr>
          <w:pStyle w:val="Footer"/>
          <w:tabs>
            <w:tab w:val="clear" w:pos="4513"/>
          </w:tabs>
          <w:jc w:val="center"/>
        </w:pPr>
        <w:r>
          <w:fldChar w:fldCharType="begin"/>
        </w:r>
        <w:r>
          <w:instrText xml:space="preserve"> PAGE   \* MERGEFORMAT </w:instrText>
        </w:r>
        <w:r>
          <w:fldChar w:fldCharType="separate"/>
        </w:r>
        <w:r w:rsidR="00BD117A">
          <w:rPr>
            <w:noProof/>
          </w:rPr>
          <w:t>4</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3618E5" w14:textId="77777777" w:rsidR="00F21AEB" w:rsidRDefault="00F21AEB" w:rsidP="009F41B6">
      <w:r>
        <w:separator/>
      </w:r>
    </w:p>
    <w:p w14:paraId="1F65F1B8" w14:textId="77777777" w:rsidR="00F21AEB" w:rsidRDefault="00F21AEB" w:rsidP="009F41B6"/>
  </w:footnote>
  <w:footnote w:type="continuationSeparator" w:id="0">
    <w:p w14:paraId="2E54A899" w14:textId="77777777" w:rsidR="00F21AEB" w:rsidRDefault="00F21AEB" w:rsidP="009F41B6">
      <w:r>
        <w:continuationSeparator/>
      </w:r>
    </w:p>
    <w:p w14:paraId="00D4BC65" w14:textId="77777777" w:rsidR="00F21AEB" w:rsidRDefault="00F21AEB" w:rsidP="009F41B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5791E5" w14:textId="77777777" w:rsidR="00F21AEB" w:rsidRDefault="00F21AEB" w:rsidP="008327B8">
    <w:pPr>
      <w:pStyle w:val="Header"/>
      <w:jc w:val="center"/>
    </w:pPr>
    <w:r>
      <w:t>OFFICIAL - SENSITIVE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7A77D9" w14:textId="52FCB09C" w:rsidR="00F21AEB" w:rsidRDefault="00F21AEB">
    <w:pPr>
      <w:pStyle w:val="Header"/>
    </w:pPr>
  </w:p>
  <w:p w14:paraId="2B8C5917" w14:textId="77777777" w:rsidR="00F21AEB" w:rsidRDefault="00F21AEB"/>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D59D89" w14:textId="04EAD5FA" w:rsidR="00F21AEB" w:rsidRPr="003F351B" w:rsidRDefault="00F21AEB" w:rsidP="003F351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6141D4" w14:textId="5131DDF1" w:rsidR="00F21AEB" w:rsidRPr="003F351B" w:rsidRDefault="00F21AEB" w:rsidP="003F35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4BEC23F2"/>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74543FBC"/>
    <w:lvl w:ilvl="0">
      <w:start w:val="1"/>
      <w:numFmt w:val="bullet"/>
      <w:pStyle w:val="ListBullet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7082A390"/>
    <w:lvl w:ilvl="0">
      <w:start w:val="1"/>
      <w:numFmt w:val="bullet"/>
      <w:pStyle w:val="ListBullet2"/>
      <w:lvlText w:val=""/>
      <w:lvlJc w:val="left"/>
      <w:pPr>
        <w:tabs>
          <w:tab w:val="num" w:pos="643"/>
        </w:tabs>
        <w:ind w:left="643" w:hanging="360"/>
      </w:pPr>
      <w:rPr>
        <w:rFonts w:ascii="Symbol" w:hAnsi="Symbol" w:hint="default"/>
      </w:rPr>
    </w:lvl>
  </w:abstractNum>
  <w:abstractNum w:abstractNumId="3" w15:restartNumberingAfterBreak="0">
    <w:nsid w:val="06785EA0"/>
    <w:multiLevelType w:val="hybridMultilevel"/>
    <w:tmpl w:val="BACE2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9A735C"/>
    <w:multiLevelType w:val="hybridMultilevel"/>
    <w:tmpl w:val="AE509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964735"/>
    <w:multiLevelType w:val="hybridMultilevel"/>
    <w:tmpl w:val="380CA600"/>
    <w:lvl w:ilvl="0" w:tplc="CFDEEF30">
      <w:start w:val="1"/>
      <w:numFmt w:val="bullet"/>
      <w:pStyle w:val="ListBullet"/>
      <w:lvlText w:val=""/>
      <w:lvlJc w:val="left"/>
      <w:pPr>
        <w:ind w:left="720" w:hanging="360"/>
      </w:pPr>
      <w:rPr>
        <w:rFonts w:ascii="Symbol" w:hAnsi="Symbol" w:hint="default"/>
      </w:rPr>
    </w:lvl>
    <w:lvl w:ilvl="1" w:tplc="7F26412C">
      <w:start w:val="1"/>
      <w:numFmt w:val="bullet"/>
      <w:lvlText w:val=""/>
      <w:lvlJc w:val="left"/>
      <w:pPr>
        <w:ind w:left="1440" w:hanging="360"/>
      </w:pPr>
      <w:rPr>
        <w:rFonts w:ascii="Symbol" w:hAnsi="Symbol" w:hint="default"/>
        <w:color w:val="auto"/>
        <w:sz w:val="24"/>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EB0D5F"/>
    <w:multiLevelType w:val="multilevel"/>
    <w:tmpl w:val="F4142C2E"/>
    <w:lvl w:ilvl="0">
      <w:start w:val="1"/>
      <w:numFmt w:val="decimal"/>
      <w:lvlRestart w:val="0"/>
      <w:pStyle w:val="DfESOutNumbered1"/>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10623F94"/>
    <w:multiLevelType w:val="hybridMultilevel"/>
    <w:tmpl w:val="2EB426E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241725C"/>
    <w:multiLevelType w:val="hybridMultilevel"/>
    <w:tmpl w:val="10D401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6B143C5"/>
    <w:multiLevelType w:val="hybridMultilevel"/>
    <w:tmpl w:val="28940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1" w15:restartNumberingAfterBreak="0">
    <w:nsid w:val="1D6610BA"/>
    <w:multiLevelType w:val="hybridMultilevel"/>
    <w:tmpl w:val="A68CF1D0"/>
    <w:lvl w:ilvl="0" w:tplc="08090001">
      <w:start w:val="1"/>
      <w:numFmt w:val="bullet"/>
      <w:lvlText w:val=""/>
      <w:lvlJc w:val="left"/>
      <w:pPr>
        <w:ind w:left="758" w:hanging="360"/>
      </w:pPr>
      <w:rPr>
        <w:rFonts w:ascii="Symbol" w:hAnsi="Symbol" w:hint="default"/>
      </w:rPr>
    </w:lvl>
    <w:lvl w:ilvl="1" w:tplc="08090003" w:tentative="1">
      <w:start w:val="1"/>
      <w:numFmt w:val="bullet"/>
      <w:lvlText w:val="o"/>
      <w:lvlJc w:val="left"/>
      <w:pPr>
        <w:ind w:left="1478" w:hanging="360"/>
      </w:pPr>
      <w:rPr>
        <w:rFonts w:ascii="Courier New" w:hAnsi="Courier New" w:cs="Courier New" w:hint="default"/>
      </w:rPr>
    </w:lvl>
    <w:lvl w:ilvl="2" w:tplc="08090005" w:tentative="1">
      <w:start w:val="1"/>
      <w:numFmt w:val="bullet"/>
      <w:lvlText w:val=""/>
      <w:lvlJc w:val="left"/>
      <w:pPr>
        <w:ind w:left="2198" w:hanging="360"/>
      </w:pPr>
      <w:rPr>
        <w:rFonts w:ascii="Wingdings" w:hAnsi="Wingdings" w:hint="default"/>
      </w:rPr>
    </w:lvl>
    <w:lvl w:ilvl="3" w:tplc="08090001" w:tentative="1">
      <w:start w:val="1"/>
      <w:numFmt w:val="bullet"/>
      <w:lvlText w:val=""/>
      <w:lvlJc w:val="left"/>
      <w:pPr>
        <w:ind w:left="2918" w:hanging="360"/>
      </w:pPr>
      <w:rPr>
        <w:rFonts w:ascii="Symbol" w:hAnsi="Symbol" w:hint="default"/>
      </w:rPr>
    </w:lvl>
    <w:lvl w:ilvl="4" w:tplc="08090003" w:tentative="1">
      <w:start w:val="1"/>
      <w:numFmt w:val="bullet"/>
      <w:lvlText w:val="o"/>
      <w:lvlJc w:val="left"/>
      <w:pPr>
        <w:ind w:left="3638" w:hanging="360"/>
      </w:pPr>
      <w:rPr>
        <w:rFonts w:ascii="Courier New" w:hAnsi="Courier New" w:cs="Courier New" w:hint="default"/>
      </w:rPr>
    </w:lvl>
    <w:lvl w:ilvl="5" w:tplc="08090005" w:tentative="1">
      <w:start w:val="1"/>
      <w:numFmt w:val="bullet"/>
      <w:lvlText w:val=""/>
      <w:lvlJc w:val="left"/>
      <w:pPr>
        <w:ind w:left="4358" w:hanging="360"/>
      </w:pPr>
      <w:rPr>
        <w:rFonts w:ascii="Wingdings" w:hAnsi="Wingdings" w:hint="default"/>
      </w:rPr>
    </w:lvl>
    <w:lvl w:ilvl="6" w:tplc="08090001" w:tentative="1">
      <w:start w:val="1"/>
      <w:numFmt w:val="bullet"/>
      <w:lvlText w:val=""/>
      <w:lvlJc w:val="left"/>
      <w:pPr>
        <w:ind w:left="5078" w:hanging="360"/>
      </w:pPr>
      <w:rPr>
        <w:rFonts w:ascii="Symbol" w:hAnsi="Symbol" w:hint="default"/>
      </w:rPr>
    </w:lvl>
    <w:lvl w:ilvl="7" w:tplc="08090003" w:tentative="1">
      <w:start w:val="1"/>
      <w:numFmt w:val="bullet"/>
      <w:lvlText w:val="o"/>
      <w:lvlJc w:val="left"/>
      <w:pPr>
        <w:ind w:left="5798" w:hanging="360"/>
      </w:pPr>
      <w:rPr>
        <w:rFonts w:ascii="Courier New" w:hAnsi="Courier New" w:cs="Courier New" w:hint="default"/>
      </w:rPr>
    </w:lvl>
    <w:lvl w:ilvl="8" w:tplc="08090005" w:tentative="1">
      <w:start w:val="1"/>
      <w:numFmt w:val="bullet"/>
      <w:lvlText w:val=""/>
      <w:lvlJc w:val="left"/>
      <w:pPr>
        <w:ind w:left="6518" w:hanging="360"/>
      </w:pPr>
      <w:rPr>
        <w:rFonts w:ascii="Wingdings" w:hAnsi="Wingdings" w:hint="default"/>
      </w:rPr>
    </w:lvl>
  </w:abstractNum>
  <w:abstractNum w:abstractNumId="12" w15:restartNumberingAfterBreak="0">
    <w:nsid w:val="1E8F10D2"/>
    <w:multiLevelType w:val="hybridMultilevel"/>
    <w:tmpl w:val="F45290B8"/>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13" w15:restartNumberingAfterBreak="0">
    <w:nsid w:val="215F6187"/>
    <w:multiLevelType w:val="hybridMultilevel"/>
    <w:tmpl w:val="6F58239A"/>
    <w:lvl w:ilvl="0" w:tplc="7730F562">
      <w:start w:val="1"/>
      <w:numFmt w:val="upp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90D01B3"/>
    <w:multiLevelType w:val="hybridMultilevel"/>
    <w:tmpl w:val="9BE40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9112EC6"/>
    <w:multiLevelType w:val="hybridMultilevel"/>
    <w:tmpl w:val="6284F2D2"/>
    <w:lvl w:ilvl="0" w:tplc="E3667B8E">
      <w:start w:val="1"/>
      <w:numFmt w:val="lowerRoman"/>
      <w:lvlText w:val="%1."/>
      <w:lvlJc w:val="right"/>
      <w:pPr>
        <w:ind w:left="86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2AF0EE5"/>
    <w:multiLevelType w:val="hybridMultilevel"/>
    <w:tmpl w:val="25C43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50E1C25"/>
    <w:multiLevelType w:val="hybridMultilevel"/>
    <w:tmpl w:val="C4D0EFD6"/>
    <w:lvl w:ilvl="0" w:tplc="687CB400">
      <w:start w:val="1"/>
      <w:numFmt w:val="bullet"/>
      <w:pStyle w:val="ListParagraph"/>
      <w:lvlText w:val=""/>
      <w:lvlJc w:val="left"/>
      <w:pPr>
        <w:ind w:left="720" w:hanging="360"/>
      </w:pPr>
      <w:rPr>
        <w:rFonts w:ascii="Symbol" w:hAnsi="Symbol" w:hint="default"/>
      </w:rPr>
    </w:lvl>
    <w:lvl w:ilvl="1" w:tplc="88A6CB94">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88E6516"/>
    <w:multiLevelType w:val="hybridMultilevel"/>
    <w:tmpl w:val="A6DAA66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9D0120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0" w15:restartNumberingAfterBreak="0">
    <w:nsid w:val="41A64964"/>
    <w:multiLevelType w:val="multilevel"/>
    <w:tmpl w:val="895C11A8"/>
    <w:styleLink w:val="LFO25"/>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44995D1E"/>
    <w:multiLevelType w:val="hybridMultilevel"/>
    <w:tmpl w:val="26C60116"/>
    <w:lvl w:ilvl="0" w:tplc="08090001">
      <w:start w:val="1"/>
      <w:numFmt w:val="bullet"/>
      <w:lvlText w:val=""/>
      <w:lvlJc w:val="left"/>
      <w:pPr>
        <w:ind w:left="761" w:hanging="360"/>
      </w:pPr>
      <w:rPr>
        <w:rFonts w:ascii="Symbol" w:hAnsi="Symbol" w:hint="default"/>
      </w:rPr>
    </w:lvl>
    <w:lvl w:ilvl="1" w:tplc="08090003" w:tentative="1">
      <w:start w:val="1"/>
      <w:numFmt w:val="bullet"/>
      <w:lvlText w:val="o"/>
      <w:lvlJc w:val="left"/>
      <w:pPr>
        <w:ind w:left="1481" w:hanging="360"/>
      </w:pPr>
      <w:rPr>
        <w:rFonts w:ascii="Courier New" w:hAnsi="Courier New" w:cs="Courier New" w:hint="default"/>
      </w:rPr>
    </w:lvl>
    <w:lvl w:ilvl="2" w:tplc="08090005" w:tentative="1">
      <w:start w:val="1"/>
      <w:numFmt w:val="bullet"/>
      <w:lvlText w:val=""/>
      <w:lvlJc w:val="left"/>
      <w:pPr>
        <w:ind w:left="2201" w:hanging="360"/>
      </w:pPr>
      <w:rPr>
        <w:rFonts w:ascii="Wingdings" w:hAnsi="Wingdings" w:hint="default"/>
      </w:rPr>
    </w:lvl>
    <w:lvl w:ilvl="3" w:tplc="08090001" w:tentative="1">
      <w:start w:val="1"/>
      <w:numFmt w:val="bullet"/>
      <w:lvlText w:val=""/>
      <w:lvlJc w:val="left"/>
      <w:pPr>
        <w:ind w:left="2921" w:hanging="360"/>
      </w:pPr>
      <w:rPr>
        <w:rFonts w:ascii="Symbol" w:hAnsi="Symbol" w:hint="default"/>
      </w:rPr>
    </w:lvl>
    <w:lvl w:ilvl="4" w:tplc="08090003" w:tentative="1">
      <w:start w:val="1"/>
      <w:numFmt w:val="bullet"/>
      <w:lvlText w:val="o"/>
      <w:lvlJc w:val="left"/>
      <w:pPr>
        <w:ind w:left="3641" w:hanging="360"/>
      </w:pPr>
      <w:rPr>
        <w:rFonts w:ascii="Courier New" w:hAnsi="Courier New" w:cs="Courier New" w:hint="default"/>
      </w:rPr>
    </w:lvl>
    <w:lvl w:ilvl="5" w:tplc="08090005" w:tentative="1">
      <w:start w:val="1"/>
      <w:numFmt w:val="bullet"/>
      <w:lvlText w:val=""/>
      <w:lvlJc w:val="left"/>
      <w:pPr>
        <w:ind w:left="4361" w:hanging="360"/>
      </w:pPr>
      <w:rPr>
        <w:rFonts w:ascii="Wingdings" w:hAnsi="Wingdings" w:hint="default"/>
      </w:rPr>
    </w:lvl>
    <w:lvl w:ilvl="6" w:tplc="08090001" w:tentative="1">
      <w:start w:val="1"/>
      <w:numFmt w:val="bullet"/>
      <w:lvlText w:val=""/>
      <w:lvlJc w:val="left"/>
      <w:pPr>
        <w:ind w:left="5081" w:hanging="360"/>
      </w:pPr>
      <w:rPr>
        <w:rFonts w:ascii="Symbol" w:hAnsi="Symbol" w:hint="default"/>
      </w:rPr>
    </w:lvl>
    <w:lvl w:ilvl="7" w:tplc="08090003" w:tentative="1">
      <w:start w:val="1"/>
      <w:numFmt w:val="bullet"/>
      <w:lvlText w:val="o"/>
      <w:lvlJc w:val="left"/>
      <w:pPr>
        <w:ind w:left="5801" w:hanging="360"/>
      </w:pPr>
      <w:rPr>
        <w:rFonts w:ascii="Courier New" w:hAnsi="Courier New" w:cs="Courier New" w:hint="default"/>
      </w:rPr>
    </w:lvl>
    <w:lvl w:ilvl="8" w:tplc="08090005" w:tentative="1">
      <w:start w:val="1"/>
      <w:numFmt w:val="bullet"/>
      <w:lvlText w:val=""/>
      <w:lvlJc w:val="left"/>
      <w:pPr>
        <w:ind w:left="6521" w:hanging="360"/>
      </w:pPr>
      <w:rPr>
        <w:rFonts w:ascii="Wingdings" w:hAnsi="Wingdings" w:hint="default"/>
      </w:rPr>
    </w:lvl>
  </w:abstractNum>
  <w:abstractNum w:abstractNumId="22"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3" w15:restartNumberingAfterBreak="0">
    <w:nsid w:val="4822122D"/>
    <w:multiLevelType w:val="hybridMultilevel"/>
    <w:tmpl w:val="03148D9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E2A5D5F"/>
    <w:multiLevelType w:val="hybridMultilevel"/>
    <w:tmpl w:val="961AE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0FE755E"/>
    <w:multiLevelType w:val="hybridMultilevel"/>
    <w:tmpl w:val="5492F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693CFB"/>
    <w:multiLevelType w:val="hybridMultilevel"/>
    <w:tmpl w:val="38044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4F17112"/>
    <w:multiLevelType w:val="hybridMultilevel"/>
    <w:tmpl w:val="0B18D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C835003"/>
    <w:multiLevelType w:val="hybridMultilevel"/>
    <w:tmpl w:val="B6648E80"/>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4CB10AF"/>
    <w:multiLevelType w:val="hybridMultilevel"/>
    <w:tmpl w:val="8F148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60403AA"/>
    <w:multiLevelType w:val="hybridMultilevel"/>
    <w:tmpl w:val="9C88BEF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2" w15:restartNumberingAfterBreak="0">
    <w:nsid w:val="67E15D0D"/>
    <w:multiLevelType w:val="hybridMultilevel"/>
    <w:tmpl w:val="29C60E34"/>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694548F6"/>
    <w:multiLevelType w:val="hybridMultilevel"/>
    <w:tmpl w:val="A560C57E"/>
    <w:lvl w:ilvl="0" w:tplc="76A87298">
      <w:start w:val="1"/>
      <w:numFmt w:val="upp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A4B1C12"/>
    <w:multiLevelType w:val="hybridMultilevel"/>
    <w:tmpl w:val="1D76A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E4B0A91"/>
    <w:multiLevelType w:val="hybridMultilevel"/>
    <w:tmpl w:val="37EA79CE"/>
    <w:lvl w:ilvl="0" w:tplc="28FC8EBA">
      <w:start w:val="1"/>
      <w:numFmt w:val="decimal"/>
      <w:lvlText w:val="%1."/>
      <w:lvlJc w:val="left"/>
      <w:pPr>
        <w:ind w:left="114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FE16D76"/>
    <w:multiLevelType w:val="hybridMultilevel"/>
    <w:tmpl w:val="10724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D353C98"/>
    <w:multiLevelType w:val="hybridMultilevel"/>
    <w:tmpl w:val="0018D6C4"/>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num w:numId="1">
    <w:abstractNumId w:val="31"/>
  </w:num>
  <w:num w:numId="2">
    <w:abstractNumId w:val="6"/>
  </w:num>
  <w:num w:numId="3">
    <w:abstractNumId w:val="0"/>
  </w:num>
  <w:num w:numId="4">
    <w:abstractNumId w:val="5"/>
  </w:num>
  <w:num w:numId="5">
    <w:abstractNumId w:val="2"/>
  </w:num>
  <w:num w:numId="6">
    <w:abstractNumId w:val="1"/>
  </w:num>
  <w:num w:numId="7">
    <w:abstractNumId w:val="17"/>
  </w:num>
  <w:num w:numId="8">
    <w:abstractNumId w:val="10"/>
  </w:num>
  <w:num w:numId="9">
    <w:abstractNumId w:val="22"/>
  </w:num>
  <w:num w:numId="10">
    <w:abstractNumId w:val="8"/>
  </w:num>
  <w:num w:numId="11">
    <w:abstractNumId w:val="29"/>
  </w:num>
  <w:num w:numId="12">
    <w:abstractNumId w:val="26"/>
  </w:num>
  <w:num w:numId="13">
    <w:abstractNumId w:val="3"/>
  </w:num>
  <w:num w:numId="14">
    <w:abstractNumId w:val="4"/>
  </w:num>
  <w:num w:numId="15">
    <w:abstractNumId w:val="25"/>
  </w:num>
  <w:num w:numId="16">
    <w:abstractNumId w:val="9"/>
  </w:num>
  <w:num w:numId="17">
    <w:abstractNumId w:val="34"/>
  </w:num>
  <w:num w:numId="18">
    <w:abstractNumId w:val="18"/>
  </w:num>
  <w:num w:numId="19">
    <w:abstractNumId w:val="23"/>
  </w:num>
  <w:num w:numId="20">
    <w:abstractNumId w:val="16"/>
  </w:num>
  <w:num w:numId="21">
    <w:abstractNumId w:val="36"/>
  </w:num>
  <w:num w:numId="22">
    <w:abstractNumId w:val="14"/>
  </w:num>
  <w:num w:numId="23">
    <w:abstractNumId w:val="11"/>
  </w:num>
  <w:num w:numId="24">
    <w:abstractNumId w:val="21"/>
  </w:num>
  <w:num w:numId="25">
    <w:abstractNumId w:val="28"/>
  </w:num>
  <w:num w:numId="26">
    <w:abstractNumId w:val="7"/>
  </w:num>
  <w:num w:numId="27">
    <w:abstractNumId w:val="37"/>
  </w:num>
  <w:num w:numId="28">
    <w:abstractNumId w:val="19"/>
  </w:num>
  <w:num w:numId="29">
    <w:abstractNumId w:val="32"/>
  </w:num>
  <w:num w:numId="30">
    <w:abstractNumId w:val="27"/>
  </w:num>
  <w:num w:numId="31">
    <w:abstractNumId w:val="24"/>
  </w:num>
  <w:num w:numId="32">
    <w:abstractNumId w:val="12"/>
  </w:num>
  <w:num w:numId="33">
    <w:abstractNumId w:val="35"/>
  </w:num>
  <w:num w:numId="34">
    <w:abstractNumId w:val="33"/>
  </w:num>
  <w:num w:numId="35">
    <w:abstractNumId w:val="13"/>
  </w:num>
  <w:num w:numId="36">
    <w:abstractNumId w:val="15"/>
  </w:num>
  <w:num w:numId="37">
    <w:abstractNumId w:val="20"/>
  </w:num>
  <w:num w:numId="38">
    <w:abstractNumId w:val="30"/>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F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1"/>
  <w:stylePaneSortMethod w:val="0000"/>
  <w:doNotTrackFormatting/>
  <w:defaultTabStop w:val="720"/>
  <w:noPunctuationKerning/>
  <w:characterSpacingControl w:val="doNotCompress"/>
  <w:hdrShapeDefaults>
    <o:shapedefaults v:ext="edit" spidmax="14337">
      <o:colormru v:ext="edit" colors="#104f75,#260859,#004712,#8a2529,#c2a204,#e87d1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F3A"/>
    <w:rsid w:val="00000CCE"/>
    <w:rsid w:val="00011A88"/>
    <w:rsid w:val="00013A6E"/>
    <w:rsid w:val="00013D08"/>
    <w:rsid w:val="000162C6"/>
    <w:rsid w:val="0002203B"/>
    <w:rsid w:val="00023913"/>
    <w:rsid w:val="000240E2"/>
    <w:rsid w:val="00024EA2"/>
    <w:rsid w:val="00030ABD"/>
    <w:rsid w:val="00031F36"/>
    <w:rsid w:val="00036EE2"/>
    <w:rsid w:val="000442BD"/>
    <w:rsid w:val="00051E2E"/>
    <w:rsid w:val="00053503"/>
    <w:rsid w:val="00057100"/>
    <w:rsid w:val="00060EBF"/>
    <w:rsid w:val="00066B1C"/>
    <w:rsid w:val="0007258F"/>
    <w:rsid w:val="00074179"/>
    <w:rsid w:val="00074641"/>
    <w:rsid w:val="00081EE7"/>
    <w:rsid w:val="00083A73"/>
    <w:rsid w:val="00086722"/>
    <w:rsid w:val="00095901"/>
    <w:rsid w:val="000A10F4"/>
    <w:rsid w:val="000A4B41"/>
    <w:rsid w:val="000A5C6F"/>
    <w:rsid w:val="000B3DE0"/>
    <w:rsid w:val="000B4A3E"/>
    <w:rsid w:val="000C503E"/>
    <w:rsid w:val="000C5786"/>
    <w:rsid w:val="000C6B02"/>
    <w:rsid w:val="000C7733"/>
    <w:rsid w:val="000D1D30"/>
    <w:rsid w:val="000D4433"/>
    <w:rsid w:val="000D5697"/>
    <w:rsid w:val="000E3350"/>
    <w:rsid w:val="000E46AE"/>
    <w:rsid w:val="000F1A98"/>
    <w:rsid w:val="000F22D0"/>
    <w:rsid w:val="000F379D"/>
    <w:rsid w:val="000F73F3"/>
    <w:rsid w:val="001037C4"/>
    <w:rsid w:val="00103E77"/>
    <w:rsid w:val="00113E8C"/>
    <w:rsid w:val="0011494F"/>
    <w:rsid w:val="00121C6C"/>
    <w:rsid w:val="001232CE"/>
    <w:rsid w:val="00126B7D"/>
    <w:rsid w:val="0012742C"/>
    <w:rsid w:val="001321D2"/>
    <w:rsid w:val="00133075"/>
    <w:rsid w:val="00135249"/>
    <w:rsid w:val="00144268"/>
    <w:rsid w:val="00147214"/>
    <w:rsid w:val="00152A3A"/>
    <w:rsid w:val="001540AB"/>
    <w:rsid w:val="00155ECC"/>
    <w:rsid w:val="001615DF"/>
    <w:rsid w:val="00161A13"/>
    <w:rsid w:val="0017051C"/>
    <w:rsid w:val="00171F6B"/>
    <w:rsid w:val="00174104"/>
    <w:rsid w:val="001747E2"/>
    <w:rsid w:val="00174F09"/>
    <w:rsid w:val="00176EB9"/>
    <w:rsid w:val="001811F8"/>
    <w:rsid w:val="00183D0C"/>
    <w:rsid w:val="00190C3A"/>
    <w:rsid w:val="00196306"/>
    <w:rsid w:val="001A0936"/>
    <w:rsid w:val="001A3A04"/>
    <w:rsid w:val="001B2AE2"/>
    <w:rsid w:val="001B4452"/>
    <w:rsid w:val="001B5C15"/>
    <w:rsid w:val="001B796F"/>
    <w:rsid w:val="001C4E9C"/>
    <w:rsid w:val="001C55FC"/>
    <w:rsid w:val="001C5A63"/>
    <w:rsid w:val="001C5EB6"/>
    <w:rsid w:val="001C7959"/>
    <w:rsid w:val="001D09EC"/>
    <w:rsid w:val="001D2EA7"/>
    <w:rsid w:val="001D42A6"/>
    <w:rsid w:val="001D569D"/>
    <w:rsid w:val="001D5770"/>
    <w:rsid w:val="001E3581"/>
    <w:rsid w:val="001E6CDB"/>
    <w:rsid w:val="001F257C"/>
    <w:rsid w:val="001F428D"/>
    <w:rsid w:val="00201BEA"/>
    <w:rsid w:val="00203ACA"/>
    <w:rsid w:val="00203EC9"/>
    <w:rsid w:val="002042CF"/>
    <w:rsid w:val="00207CF2"/>
    <w:rsid w:val="00210E6D"/>
    <w:rsid w:val="002113CF"/>
    <w:rsid w:val="00212E0B"/>
    <w:rsid w:val="00214378"/>
    <w:rsid w:val="00214713"/>
    <w:rsid w:val="0022255C"/>
    <w:rsid w:val="0022489D"/>
    <w:rsid w:val="002262F3"/>
    <w:rsid w:val="00230559"/>
    <w:rsid w:val="0023095D"/>
    <w:rsid w:val="002332F8"/>
    <w:rsid w:val="00234F75"/>
    <w:rsid w:val="00237C3C"/>
    <w:rsid w:val="00237F6B"/>
    <w:rsid w:val="002406E2"/>
    <w:rsid w:val="00240F4B"/>
    <w:rsid w:val="002575C5"/>
    <w:rsid w:val="002624F5"/>
    <w:rsid w:val="002634E2"/>
    <w:rsid w:val="002708E4"/>
    <w:rsid w:val="0027230F"/>
    <w:rsid w:val="0027252F"/>
    <w:rsid w:val="00273718"/>
    <w:rsid w:val="0027514A"/>
    <w:rsid w:val="002839B5"/>
    <w:rsid w:val="00283D8B"/>
    <w:rsid w:val="00287788"/>
    <w:rsid w:val="00291E8A"/>
    <w:rsid w:val="00292DED"/>
    <w:rsid w:val="002A1D3B"/>
    <w:rsid w:val="002A28F7"/>
    <w:rsid w:val="002A3153"/>
    <w:rsid w:val="002B0709"/>
    <w:rsid w:val="002B2775"/>
    <w:rsid w:val="002B37EB"/>
    <w:rsid w:val="002C3AA4"/>
    <w:rsid w:val="002D1911"/>
    <w:rsid w:val="002D44A8"/>
    <w:rsid w:val="002D4B69"/>
    <w:rsid w:val="002D5C1D"/>
    <w:rsid w:val="002E463F"/>
    <w:rsid w:val="002E4E9A"/>
    <w:rsid w:val="002E508B"/>
    <w:rsid w:val="002E5F9F"/>
    <w:rsid w:val="002E7368"/>
    <w:rsid w:val="002E7849"/>
    <w:rsid w:val="002F15EE"/>
    <w:rsid w:val="002F6A4F"/>
    <w:rsid w:val="002F7128"/>
    <w:rsid w:val="00300F99"/>
    <w:rsid w:val="0030310D"/>
    <w:rsid w:val="003036A2"/>
    <w:rsid w:val="0030672D"/>
    <w:rsid w:val="00306BA2"/>
    <w:rsid w:val="003154AC"/>
    <w:rsid w:val="00316DD9"/>
    <w:rsid w:val="00323776"/>
    <w:rsid w:val="00324362"/>
    <w:rsid w:val="00325D84"/>
    <w:rsid w:val="00326C32"/>
    <w:rsid w:val="00333B04"/>
    <w:rsid w:val="003370A4"/>
    <w:rsid w:val="003409F2"/>
    <w:rsid w:val="0034222D"/>
    <w:rsid w:val="00343EFD"/>
    <w:rsid w:val="00347C36"/>
    <w:rsid w:val="00357666"/>
    <w:rsid w:val="0035766C"/>
    <w:rsid w:val="00361752"/>
    <w:rsid w:val="00361FE6"/>
    <w:rsid w:val="00364F65"/>
    <w:rsid w:val="00374981"/>
    <w:rsid w:val="0037557E"/>
    <w:rsid w:val="003810D8"/>
    <w:rsid w:val="003817C5"/>
    <w:rsid w:val="003853A4"/>
    <w:rsid w:val="003866D8"/>
    <w:rsid w:val="00390B80"/>
    <w:rsid w:val="0039733B"/>
    <w:rsid w:val="003A01C4"/>
    <w:rsid w:val="003A1CC2"/>
    <w:rsid w:val="003C0411"/>
    <w:rsid w:val="003C1ECF"/>
    <w:rsid w:val="003C60B5"/>
    <w:rsid w:val="003D1EFE"/>
    <w:rsid w:val="003D764C"/>
    <w:rsid w:val="003D7BE3"/>
    <w:rsid w:val="003E129B"/>
    <w:rsid w:val="003E1329"/>
    <w:rsid w:val="003E4B03"/>
    <w:rsid w:val="003E59EE"/>
    <w:rsid w:val="003F28B3"/>
    <w:rsid w:val="003F351B"/>
    <w:rsid w:val="003F63E0"/>
    <w:rsid w:val="003F751E"/>
    <w:rsid w:val="003F7BDE"/>
    <w:rsid w:val="00407032"/>
    <w:rsid w:val="0041210B"/>
    <w:rsid w:val="004158B0"/>
    <w:rsid w:val="00416220"/>
    <w:rsid w:val="00421F3D"/>
    <w:rsid w:val="004242C5"/>
    <w:rsid w:val="00430BEF"/>
    <w:rsid w:val="0043261E"/>
    <w:rsid w:val="004339FB"/>
    <w:rsid w:val="00436A77"/>
    <w:rsid w:val="0043760C"/>
    <w:rsid w:val="00442364"/>
    <w:rsid w:val="00445E79"/>
    <w:rsid w:val="004509BE"/>
    <w:rsid w:val="00451FA7"/>
    <w:rsid w:val="004572EE"/>
    <w:rsid w:val="004671CA"/>
    <w:rsid w:val="00467BC5"/>
    <w:rsid w:val="00470223"/>
    <w:rsid w:val="00471FEE"/>
    <w:rsid w:val="004726CF"/>
    <w:rsid w:val="00482BF2"/>
    <w:rsid w:val="004866AD"/>
    <w:rsid w:val="004977DF"/>
    <w:rsid w:val="00497D2D"/>
    <w:rsid w:val="004A0192"/>
    <w:rsid w:val="004A25DF"/>
    <w:rsid w:val="004B0132"/>
    <w:rsid w:val="004B19E5"/>
    <w:rsid w:val="004B4394"/>
    <w:rsid w:val="004B6B92"/>
    <w:rsid w:val="004C1DC7"/>
    <w:rsid w:val="004D0B5A"/>
    <w:rsid w:val="004D13A3"/>
    <w:rsid w:val="004D4F4A"/>
    <w:rsid w:val="004E0F5B"/>
    <w:rsid w:val="004E4B9F"/>
    <w:rsid w:val="004E6CD9"/>
    <w:rsid w:val="004F00ED"/>
    <w:rsid w:val="004F19D4"/>
    <w:rsid w:val="004F20E3"/>
    <w:rsid w:val="004F211A"/>
    <w:rsid w:val="004F3159"/>
    <w:rsid w:val="004F4AEF"/>
    <w:rsid w:val="004F70A9"/>
    <w:rsid w:val="00500764"/>
    <w:rsid w:val="00503147"/>
    <w:rsid w:val="00505A57"/>
    <w:rsid w:val="0050779E"/>
    <w:rsid w:val="00507870"/>
    <w:rsid w:val="0052566B"/>
    <w:rsid w:val="0052767D"/>
    <w:rsid w:val="00531CFD"/>
    <w:rsid w:val="00536E0B"/>
    <w:rsid w:val="00550E2B"/>
    <w:rsid w:val="005535E5"/>
    <w:rsid w:val="00553E4E"/>
    <w:rsid w:val="005552BF"/>
    <w:rsid w:val="00557BAB"/>
    <w:rsid w:val="00560451"/>
    <w:rsid w:val="00562261"/>
    <w:rsid w:val="0056283E"/>
    <w:rsid w:val="00565A60"/>
    <w:rsid w:val="00566C31"/>
    <w:rsid w:val="0057250B"/>
    <w:rsid w:val="00572C72"/>
    <w:rsid w:val="00573780"/>
    <w:rsid w:val="00574294"/>
    <w:rsid w:val="005749C5"/>
    <w:rsid w:val="0057670A"/>
    <w:rsid w:val="00577486"/>
    <w:rsid w:val="00581D79"/>
    <w:rsid w:val="00585490"/>
    <w:rsid w:val="00585A2C"/>
    <w:rsid w:val="005905B1"/>
    <w:rsid w:val="005914F1"/>
    <w:rsid w:val="0059494A"/>
    <w:rsid w:val="005A07FF"/>
    <w:rsid w:val="005A4AE2"/>
    <w:rsid w:val="005A65F5"/>
    <w:rsid w:val="005A67AA"/>
    <w:rsid w:val="005A6DE5"/>
    <w:rsid w:val="005A71BA"/>
    <w:rsid w:val="005A7C7F"/>
    <w:rsid w:val="005A7D82"/>
    <w:rsid w:val="005B1536"/>
    <w:rsid w:val="005B2FD4"/>
    <w:rsid w:val="005B6438"/>
    <w:rsid w:val="005C0A99"/>
    <w:rsid w:val="005C0B41"/>
    <w:rsid w:val="005C1447"/>
    <w:rsid w:val="005C14AE"/>
    <w:rsid w:val="005C1770"/>
    <w:rsid w:val="005C2466"/>
    <w:rsid w:val="005C3645"/>
    <w:rsid w:val="005C6416"/>
    <w:rsid w:val="005C657D"/>
    <w:rsid w:val="005C7AF8"/>
    <w:rsid w:val="005D05CE"/>
    <w:rsid w:val="005D1566"/>
    <w:rsid w:val="005D252F"/>
    <w:rsid w:val="005D380A"/>
    <w:rsid w:val="005D3D25"/>
    <w:rsid w:val="005D535F"/>
    <w:rsid w:val="005E1F47"/>
    <w:rsid w:val="005E3379"/>
    <w:rsid w:val="005E6FC2"/>
    <w:rsid w:val="005E70E7"/>
    <w:rsid w:val="005F107C"/>
    <w:rsid w:val="005F226C"/>
    <w:rsid w:val="005F625A"/>
    <w:rsid w:val="005F7472"/>
    <w:rsid w:val="005F7DBE"/>
    <w:rsid w:val="00602008"/>
    <w:rsid w:val="0060702F"/>
    <w:rsid w:val="006108B3"/>
    <w:rsid w:val="00611F91"/>
    <w:rsid w:val="006155C4"/>
    <w:rsid w:val="006237FB"/>
    <w:rsid w:val="0062454F"/>
    <w:rsid w:val="006248B1"/>
    <w:rsid w:val="00626DD2"/>
    <w:rsid w:val="00633E4E"/>
    <w:rsid w:val="00635D57"/>
    <w:rsid w:val="006418B2"/>
    <w:rsid w:val="00642026"/>
    <w:rsid w:val="00642404"/>
    <w:rsid w:val="006429B3"/>
    <w:rsid w:val="006431E0"/>
    <w:rsid w:val="00646373"/>
    <w:rsid w:val="00647EFA"/>
    <w:rsid w:val="00650229"/>
    <w:rsid w:val="00650A8D"/>
    <w:rsid w:val="00652973"/>
    <w:rsid w:val="006539C8"/>
    <w:rsid w:val="006558CA"/>
    <w:rsid w:val="00657E79"/>
    <w:rsid w:val="006606F5"/>
    <w:rsid w:val="006606F9"/>
    <w:rsid w:val="0067185E"/>
    <w:rsid w:val="00671B64"/>
    <w:rsid w:val="00671D5B"/>
    <w:rsid w:val="00671FA2"/>
    <w:rsid w:val="006775FA"/>
    <w:rsid w:val="006814D7"/>
    <w:rsid w:val="00682553"/>
    <w:rsid w:val="0068544D"/>
    <w:rsid w:val="0069409E"/>
    <w:rsid w:val="00695D08"/>
    <w:rsid w:val="00695EA0"/>
    <w:rsid w:val="006978D5"/>
    <w:rsid w:val="006A0234"/>
    <w:rsid w:val="006A27AA"/>
    <w:rsid w:val="006A3602"/>
    <w:rsid w:val="006B1F9F"/>
    <w:rsid w:val="006C382D"/>
    <w:rsid w:val="006D1162"/>
    <w:rsid w:val="006D2179"/>
    <w:rsid w:val="006D5DED"/>
    <w:rsid w:val="006D67EB"/>
    <w:rsid w:val="006E22B1"/>
    <w:rsid w:val="006E7F39"/>
    <w:rsid w:val="006F1F96"/>
    <w:rsid w:val="006F6DC9"/>
    <w:rsid w:val="00700337"/>
    <w:rsid w:val="00700B01"/>
    <w:rsid w:val="007022F7"/>
    <w:rsid w:val="00702EBF"/>
    <w:rsid w:val="00703958"/>
    <w:rsid w:val="00713414"/>
    <w:rsid w:val="0071604F"/>
    <w:rsid w:val="00730350"/>
    <w:rsid w:val="00730EF3"/>
    <w:rsid w:val="0073516C"/>
    <w:rsid w:val="007403F5"/>
    <w:rsid w:val="007426B3"/>
    <w:rsid w:val="007428C7"/>
    <w:rsid w:val="0074314F"/>
    <w:rsid w:val="00743353"/>
    <w:rsid w:val="00745C9F"/>
    <w:rsid w:val="00746697"/>
    <w:rsid w:val="007479AD"/>
    <w:rsid w:val="00747CD7"/>
    <w:rsid w:val="0075096B"/>
    <w:rsid w:val="00751648"/>
    <w:rsid w:val="00756321"/>
    <w:rsid w:val="00760615"/>
    <w:rsid w:val="0076231A"/>
    <w:rsid w:val="00764D03"/>
    <w:rsid w:val="00765E95"/>
    <w:rsid w:val="00766306"/>
    <w:rsid w:val="00774F55"/>
    <w:rsid w:val="00775D8A"/>
    <w:rsid w:val="0077659E"/>
    <w:rsid w:val="00777AD4"/>
    <w:rsid w:val="00780950"/>
    <w:rsid w:val="007809EF"/>
    <w:rsid w:val="007830F9"/>
    <w:rsid w:val="00783210"/>
    <w:rsid w:val="00783D2C"/>
    <w:rsid w:val="00791410"/>
    <w:rsid w:val="00794F29"/>
    <w:rsid w:val="00796607"/>
    <w:rsid w:val="007A0750"/>
    <w:rsid w:val="007A2250"/>
    <w:rsid w:val="007A5759"/>
    <w:rsid w:val="007B3CFE"/>
    <w:rsid w:val="007C321D"/>
    <w:rsid w:val="007C41A5"/>
    <w:rsid w:val="007C4B2B"/>
    <w:rsid w:val="007C58BE"/>
    <w:rsid w:val="007C7EEE"/>
    <w:rsid w:val="007D0537"/>
    <w:rsid w:val="007D080B"/>
    <w:rsid w:val="007D100D"/>
    <w:rsid w:val="007D1348"/>
    <w:rsid w:val="007D29D3"/>
    <w:rsid w:val="007E06DD"/>
    <w:rsid w:val="007E35BC"/>
    <w:rsid w:val="007F1ACB"/>
    <w:rsid w:val="007F4221"/>
    <w:rsid w:val="007F670A"/>
    <w:rsid w:val="007F7235"/>
    <w:rsid w:val="00800DEB"/>
    <w:rsid w:val="00803C83"/>
    <w:rsid w:val="00805854"/>
    <w:rsid w:val="00813B3D"/>
    <w:rsid w:val="00814458"/>
    <w:rsid w:val="00814D1A"/>
    <w:rsid w:val="008168A2"/>
    <w:rsid w:val="00816E77"/>
    <w:rsid w:val="0081746F"/>
    <w:rsid w:val="00821CD3"/>
    <w:rsid w:val="00822EB1"/>
    <w:rsid w:val="00823AE8"/>
    <w:rsid w:val="00824E92"/>
    <w:rsid w:val="00827FF1"/>
    <w:rsid w:val="00831263"/>
    <w:rsid w:val="00831DB7"/>
    <w:rsid w:val="008327B8"/>
    <w:rsid w:val="00832EBF"/>
    <w:rsid w:val="0083302E"/>
    <w:rsid w:val="008348A3"/>
    <w:rsid w:val="00834ED6"/>
    <w:rsid w:val="008366CB"/>
    <w:rsid w:val="00837F3A"/>
    <w:rsid w:val="008419B8"/>
    <w:rsid w:val="0084240F"/>
    <w:rsid w:val="00845567"/>
    <w:rsid w:val="00847309"/>
    <w:rsid w:val="008515CE"/>
    <w:rsid w:val="0086049F"/>
    <w:rsid w:val="008620F3"/>
    <w:rsid w:val="00863986"/>
    <w:rsid w:val="00866257"/>
    <w:rsid w:val="00873A68"/>
    <w:rsid w:val="00874F24"/>
    <w:rsid w:val="00876230"/>
    <w:rsid w:val="008768A8"/>
    <w:rsid w:val="00877D5B"/>
    <w:rsid w:val="00877ECD"/>
    <w:rsid w:val="00886B1E"/>
    <w:rsid w:val="0089094C"/>
    <w:rsid w:val="00891CD2"/>
    <w:rsid w:val="00894E46"/>
    <w:rsid w:val="008A4181"/>
    <w:rsid w:val="008A460D"/>
    <w:rsid w:val="008A4CD5"/>
    <w:rsid w:val="008A588F"/>
    <w:rsid w:val="008A644A"/>
    <w:rsid w:val="008B05BD"/>
    <w:rsid w:val="008B0C03"/>
    <w:rsid w:val="008B0DD1"/>
    <w:rsid w:val="008B1297"/>
    <w:rsid w:val="008B250D"/>
    <w:rsid w:val="008B419B"/>
    <w:rsid w:val="008B427B"/>
    <w:rsid w:val="008B6009"/>
    <w:rsid w:val="008B66CA"/>
    <w:rsid w:val="008C3B85"/>
    <w:rsid w:val="008C46DC"/>
    <w:rsid w:val="008D15AA"/>
    <w:rsid w:val="008D6968"/>
    <w:rsid w:val="008E3B15"/>
    <w:rsid w:val="008E3F07"/>
    <w:rsid w:val="008E413A"/>
    <w:rsid w:val="008E4B40"/>
    <w:rsid w:val="008E5F36"/>
    <w:rsid w:val="008E63EA"/>
    <w:rsid w:val="008E77AA"/>
    <w:rsid w:val="008F2757"/>
    <w:rsid w:val="008F2E4F"/>
    <w:rsid w:val="008F6CA2"/>
    <w:rsid w:val="008F6F8B"/>
    <w:rsid w:val="008F7436"/>
    <w:rsid w:val="00903E42"/>
    <w:rsid w:val="00904AC4"/>
    <w:rsid w:val="0090521B"/>
    <w:rsid w:val="009055E4"/>
    <w:rsid w:val="0091025E"/>
    <w:rsid w:val="00915D44"/>
    <w:rsid w:val="00917E9C"/>
    <w:rsid w:val="00922AF8"/>
    <w:rsid w:val="0092379D"/>
    <w:rsid w:val="00924E3D"/>
    <w:rsid w:val="00925160"/>
    <w:rsid w:val="0092542E"/>
    <w:rsid w:val="00933AA5"/>
    <w:rsid w:val="00935CD9"/>
    <w:rsid w:val="00936100"/>
    <w:rsid w:val="00947CF2"/>
    <w:rsid w:val="00950F88"/>
    <w:rsid w:val="00951C56"/>
    <w:rsid w:val="00955907"/>
    <w:rsid w:val="0095599F"/>
    <w:rsid w:val="00956CF7"/>
    <w:rsid w:val="00961817"/>
    <w:rsid w:val="0096424B"/>
    <w:rsid w:val="009662D0"/>
    <w:rsid w:val="00970D41"/>
    <w:rsid w:val="009716FA"/>
    <w:rsid w:val="00972D1B"/>
    <w:rsid w:val="00982C55"/>
    <w:rsid w:val="00983DB9"/>
    <w:rsid w:val="00984AA8"/>
    <w:rsid w:val="00984FA5"/>
    <w:rsid w:val="00985088"/>
    <w:rsid w:val="00985495"/>
    <w:rsid w:val="00985F1A"/>
    <w:rsid w:val="0098648B"/>
    <w:rsid w:val="009905B1"/>
    <w:rsid w:val="009A244C"/>
    <w:rsid w:val="009A602D"/>
    <w:rsid w:val="009A7402"/>
    <w:rsid w:val="009B0DAA"/>
    <w:rsid w:val="009B32FA"/>
    <w:rsid w:val="009B45C4"/>
    <w:rsid w:val="009C13DC"/>
    <w:rsid w:val="009C1908"/>
    <w:rsid w:val="009C73CF"/>
    <w:rsid w:val="009C7FB2"/>
    <w:rsid w:val="009D1AF5"/>
    <w:rsid w:val="009E00AE"/>
    <w:rsid w:val="009E09C7"/>
    <w:rsid w:val="009E09D3"/>
    <w:rsid w:val="009E1D00"/>
    <w:rsid w:val="009E6E74"/>
    <w:rsid w:val="009F3E29"/>
    <w:rsid w:val="009F41B6"/>
    <w:rsid w:val="009F49D4"/>
    <w:rsid w:val="009F4A2B"/>
    <w:rsid w:val="009F53ED"/>
    <w:rsid w:val="00A02589"/>
    <w:rsid w:val="00A038BE"/>
    <w:rsid w:val="00A0665A"/>
    <w:rsid w:val="00A15FD8"/>
    <w:rsid w:val="00A30BA1"/>
    <w:rsid w:val="00A3636B"/>
    <w:rsid w:val="00A37DEE"/>
    <w:rsid w:val="00A433C3"/>
    <w:rsid w:val="00A50806"/>
    <w:rsid w:val="00A51847"/>
    <w:rsid w:val="00A54BB7"/>
    <w:rsid w:val="00A5643A"/>
    <w:rsid w:val="00A5723C"/>
    <w:rsid w:val="00A60232"/>
    <w:rsid w:val="00A60D43"/>
    <w:rsid w:val="00A66499"/>
    <w:rsid w:val="00A677F9"/>
    <w:rsid w:val="00A67B3E"/>
    <w:rsid w:val="00A707A4"/>
    <w:rsid w:val="00A709DC"/>
    <w:rsid w:val="00A7274B"/>
    <w:rsid w:val="00A73FB8"/>
    <w:rsid w:val="00A763CB"/>
    <w:rsid w:val="00A772FF"/>
    <w:rsid w:val="00A801D1"/>
    <w:rsid w:val="00A81F69"/>
    <w:rsid w:val="00A84C17"/>
    <w:rsid w:val="00A86089"/>
    <w:rsid w:val="00A91CB0"/>
    <w:rsid w:val="00A93FC0"/>
    <w:rsid w:val="00A95D3F"/>
    <w:rsid w:val="00AA000B"/>
    <w:rsid w:val="00AA0540"/>
    <w:rsid w:val="00AA3484"/>
    <w:rsid w:val="00AA7E7B"/>
    <w:rsid w:val="00AB1AF9"/>
    <w:rsid w:val="00AB1DC3"/>
    <w:rsid w:val="00AB3B48"/>
    <w:rsid w:val="00AB5287"/>
    <w:rsid w:val="00AB6D0F"/>
    <w:rsid w:val="00AB7858"/>
    <w:rsid w:val="00AC4931"/>
    <w:rsid w:val="00AC61A6"/>
    <w:rsid w:val="00AD01F4"/>
    <w:rsid w:val="00AD1C4B"/>
    <w:rsid w:val="00AD1DD2"/>
    <w:rsid w:val="00AD2062"/>
    <w:rsid w:val="00AD2F1D"/>
    <w:rsid w:val="00AD6CF9"/>
    <w:rsid w:val="00AE1E46"/>
    <w:rsid w:val="00AE334F"/>
    <w:rsid w:val="00AE5177"/>
    <w:rsid w:val="00AF0989"/>
    <w:rsid w:val="00AF28C7"/>
    <w:rsid w:val="00AF785C"/>
    <w:rsid w:val="00B05DDC"/>
    <w:rsid w:val="00B1029F"/>
    <w:rsid w:val="00B120FB"/>
    <w:rsid w:val="00B26579"/>
    <w:rsid w:val="00B30FD4"/>
    <w:rsid w:val="00B3498C"/>
    <w:rsid w:val="00B34F49"/>
    <w:rsid w:val="00B35EEF"/>
    <w:rsid w:val="00B37CB2"/>
    <w:rsid w:val="00B40979"/>
    <w:rsid w:val="00B4154D"/>
    <w:rsid w:val="00B43CAD"/>
    <w:rsid w:val="00B45DA1"/>
    <w:rsid w:val="00B51536"/>
    <w:rsid w:val="00B55A49"/>
    <w:rsid w:val="00B56ACC"/>
    <w:rsid w:val="00B61038"/>
    <w:rsid w:val="00B64265"/>
    <w:rsid w:val="00B64618"/>
    <w:rsid w:val="00B6712A"/>
    <w:rsid w:val="00B67F76"/>
    <w:rsid w:val="00B70EFF"/>
    <w:rsid w:val="00B7558C"/>
    <w:rsid w:val="00B845DA"/>
    <w:rsid w:val="00B85794"/>
    <w:rsid w:val="00B9194F"/>
    <w:rsid w:val="00B929B0"/>
    <w:rsid w:val="00BA003B"/>
    <w:rsid w:val="00BA2625"/>
    <w:rsid w:val="00BB05E2"/>
    <w:rsid w:val="00BB7C04"/>
    <w:rsid w:val="00BD1111"/>
    <w:rsid w:val="00BD117A"/>
    <w:rsid w:val="00BD26B6"/>
    <w:rsid w:val="00BD4A45"/>
    <w:rsid w:val="00BD5588"/>
    <w:rsid w:val="00BD7DF4"/>
    <w:rsid w:val="00BE01C6"/>
    <w:rsid w:val="00BE07AA"/>
    <w:rsid w:val="00BE22B3"/>
    <w:rsid w:val="00BE4DAC"/>
    <w:rsid w:val="00BF13F8"/>
    <w:rsid w:val="00BF68F1"/>
    <w:rsid w:val="00C01CFF"/>
    <w:rsid w:val="00C02406"/>
    <w:rsid w:val="00C02C7D"/>
    <w:rsid w:val="00C073B9"/>
    <w:rsid w:val="00C07DD7"/>
    <w:rsid w:val="00C07E21"/>
    <w:rsid w:val="00C1494D"/>
    <w:rsid w:val="00C15B78"/>
    <w:rsid w:val="00C2207B"/>
    <w:rsid w:val="00C30479"/>
    <w:rsid w:val="00C32867"/>
    <w:rsid w:val="00C46129"/>
    <w:rsid w:val="00C529E8"/>
    <w:rsid w:val="00C55C94"/>
    <w:rsid w:val="00C6013F"/>
    <w:rsid w:val="00C61159"/>
    <w:rsid w:val="00C63537"/>
    <w:rsid w:val="00C66273"/>
    <w:rsid w:val="00C6636B"/>
    <w:rsid w:val="00C71561"/>
    <w:rsid w:val="00C71E70"/>
    <w:rsid w:val="00C75A77"/>
    <w:rsid w:val="00C8124F"/>
    <w:rsid w:val="00C81513"/>
    <w:rsid w:val="00C838AF"/>
    <w:rsid w:val="00C84637"/>
    <w:rsid w:val="00C8519F"/>
    <w:rsid w:val="00C851D5"/>
    <w:rsid w:val="00C9157E"/>
    <w:rsid w:val="00C92AD3"/>
    <w:rsid w:val="00C92ED5"/>
    <w:rsid w:val="00C93184"/>
    <w:rsid w:val="00C93999"/>
    <w:rsid w:val="00CA1009"/>
    <w:rsid w:val="00CA278F"/>
    <w:rsid w:val="00CA30B4"/>
    <w:rsid w:val="00CA4180"/>
    <w:rsid w:val="00CA716C"/>
    <w:rsid w:val="00CA72FC"/>
    <w:rsid w:val="00CB56F5"/>
    <w:rsid w:val="00CB58E8"/>
    <w:rsid w:val="00CB6E04"/>
    <w:rsid w:val="00CC2512"/>
    <w:rsid w:val="00CC4C58"/>
    <w:rsid w:val="00CC547F"/>
    <w:rsid w:val="00CD0909"/>
    <w:rsid w:val="00CD5D21"/>
    <w:rsid w:val="00CE0E9F"/>
    <w:rsid w:val="00CE40D7"/>
    <w:rsid w:val="00CE5F52"/>
    <w:rsid w:val="00CE7906"/>
    <w:rsid w:val="00CF0E19"/>
    <w:rsid w:val="00D01EE5"/>
    <w:rsid w:val="00D02CE4"/>
    <w:rsid w:val="00D04B89"/>
    <w:rsid w:val="00D05342"/>
    <w:rsid w:val="00D10355"/>
    <w:rsid w:val="00D21B4A"/>
    <w:rsid w:val="00D265AE"/>
    <w:rsid w:val="00D27D9B"/>
    <w:rsid w:val="00D30402"/>
    <w:rsid w:val="00D30CF1"/>
    <w:rsid w:val="00D376DB"/>
    <w:rsid w:val="00D40DE9"/>
    <w:rsid w:val="00D41212"/>
    <w:rsid w:val="00D4259A"/>
    <w:rsid w:val="00D42B45"/>
    <w:rsid w:val="00D46ED9"/>
    <w:rsid w:val="00D50ED4"/>
    <w:rsid w:val="00D51887"/>
    <w:rsid w:val="00D54C67"/>
    <w:rsid w:val="00D54F53"/>
    <w:rsid w:val="00D55BDC"/>
    <w:rsid w:val="00D565D0"/>
    <w:rsid w:val="00D57563"/>
    <w:rsid w:val="00D57CFC"/>
    <w:rsid w:val="00D604B0"/>
    <w:rsid w:val="00D64A19"/>
    <w:rsid w:val="00D660A1"/>
    <w:rsid w:val="00D66FFC"/>
    <w:rsid w:val="00D70729"/>
    <w:rsid w:val="00D71D4B"/>
    <w:rsid w:val="00D71F30"/>
    <w:rsid w:val="00D7239F"/>
    <w:rsid w:val="00D736C0"/>
    <w:rsid w:val="00D74921"/>
    <w:rsid w:val="00D92274"/>
    <w:rsid w:val="00D94339"/>
    <w:rsid w:val="00D9707F"/>
    <w:rsid w:val="00DA165A"/>
    <w:rsid w:val="00DA1F8E"/>
    <w:rsid w:val="00DA57A4"/>
    <w:rsid w:val="00DB0D07"/>
    <w:rsid w:val="00DB0ED9"/>
    <w:rsid w:val="00DC1D74"/>
    <w:rsid w:val="00DC39E8"/>
    <w:rsid w:val="00DC4922"/>
    <w:rsid w:val="00DC4950"/>
    <w:rsid w:val="00DC585C"/>
    <w:rsid w:val="00DD3A4E"/>
    <w:rsid w:val="00DD51B7"/>
    <w:rsid w:val="00DD699B"/>
    <w:rsid w:val="00DD788A"/>
    <w:rsid w:val="00DE2205"/>
    <w:rsid w:val="00DE3B89"/>
    <w:rsid w:val="00DE6998"/>
    <w:rsid w:val="00DF0054"/>
    <w:rsid w:val="00DF00D5"/>
    <w:rsid w:val="00DF3309"/>
    <w:rsid w:val="00DF5124"/>
    <w:rsid w:val="00DF5709"/>
    <w:rsid w:val="00DF7133"/>
    <w:rsid w:val="00DF7F39"/>
    <w:rsid w:val="00E026F9"/>
    <w:rsid w:val="00E035B8"/>
    <w:rsid w:val="00E1702C"/>
    <w:rsid w:val="00E17C6D"/>
    <w:rsid w:val="00E20C79"/>
    <w:rsid w:val="00E2257D"/>
    <w:rsid w:val="00E22EE8"/>
    <w:rsid w:val="00E23ABB"/>
    <w:rsid w:val="00E23E99"/>
    <w:rsid w:val="00E307E5"/>
    <w:rsid w:val="00E3093A"/>
    <w:rsid w:val="00E33078"/>
    <w:rsid w:val="00E335AB"/>
    <w:rsid w:val="00E33AB6"/>
    <w:rsid w:val="00E3530B"/>
    <w:rsid w:val="00E35C31"/>
    <w:rsid w:val="00E4012C"/>
    <w:rsid w:val="00E40346"/>
    <w:rsid w:val="00E41485"/>
    <w:rsid w:val="00E42A8F"/>
    <w:rsid w:val="00E43FBC"/>
    <w:rsid w:val="00E44E2C"/>
    <w:rsid w:val="00E473CE"/>
    <w:rsid w:val="00E50127"/>
    <w:rsid w:val="00E50AA2"/>
    <w:rsid w:val="00E5223F"/>
    <w:rsid w:val="00E538B7"/>
    <w:rsid w:val="00E61359"/>
    <w:rsid w:val="00E6185D"/>
    <w:rsid w:val="00E66B4F"/>
    <w:rsid w:val="00E70FC4"/>
    <w:rsid w:val="00E72112"/>
    <w:rsid w:val="00E729BD"/>
    <w:rsid w:val="00E73332"/>
    <w:rsid w:val="00E741D5"/>
    <w:rsid w:val="00E74474"/>
    <w:rsid w:val="00E752F8"/>
    <w:rsid w:val="00E81060"/>
    <w:rsid w:val="00E83C17"/>
    <w:rsid w:val="00E84333"/>
    <w:rsid w:val="00E87A6A"/>
    <w:rsid w:val="00E9232A"/>
    <w:rsid w:val="00E92A89"/>
    <w:rsid w:val="00EA4174"/>
    <w:rsid w:val="00EA4D1B"/>
    <w:rsid w:val="00EA7EF1"/>
    <w:rsid w:val="00EB1D11"/>
    <w:rsid w:val="00EB281B"/>
    <w:rsid w:val="00EB79FF"/>
    <w:rsid w:val="00EC1C50"/>
    <w:rsid w:val="00ED121A"/>
    <w:rsid w:val="00ED3D05"/>
    <w:rsid w:val="00ED5025"/>
    <w:rsid w:val="00EE072C"/>
    <w:rsid w:val="00EE1C85"/>
    <w:rsid w:val="00EE5713"/>
    <w:rsid w:val="00EE64AE"/>
    <w:rsid w:val="00EE715F"/>
    <w:rsid w:val="00EF0C6F"/>
    <w:rsid w:val="00EF7E61"/>
    <w:rsid w:val="00F06445"/>
    <w:rsid w:val="00F06863"/>
    <w:rsid w:val="00F07114"/>
    <w:rsid w:val="00F127CF"/>
    <w:rsid w:val="00F206A7"/>
    <w:rsid w:val="00F21AEB"/>
    <w:rsid w:val="00F3105E"/>
    <w:rsid w:val="00F31AAB"/>
    <w:rsid w:val="00F31B8F"/>
    <w:rsid w:val="00F41591"/>
    <w:rsid w:val="00F41A63"/>
    <w:rsid w:val="00F44706"/>
    <w:rsid w:val="00F45BEB"/>
    <w:rsid w:val="00F54523"/>
    <w:rsid w:val="00F5702C"/>
    <w:rsid w:val="00F62326"/>
    <w:rsid w:val="00F626AA"/>
    <w:rsid w:val="00F70793"/>
    <w:rsid w:val="00F824D8"/>
    <w:rsid w:val="00F84544"/>
    <w:rsid w:val="00F84C99"/>
    <w:rsid w:val="00F87538"/>
    <w:rsid w:val="00F9048D"/>
    <w:rsid w:val="00F90552"/>
    <w:rsid w:val="00F908B7"/>
    <w:rsid w:val="00F9465A"/>
    <w:rsid w:val="00F954FA"/>
    <w:rsid w:val="00F95B1F"/>
    <w:rsid w:val="00F96EB7"/>
    <w:rsid w:val="00FA05B2"/>
    <w:rsid w:val="00FA0889"/>
    <w:rsid w:val="00FA68A7"/>
    <w:rsid w:val="00FB0F42"/>
    <w:rsid w:val="00FB1DD9"/>
    <w:rsid w:val="00FB54CC"/>
    <w:rsid w:val="00FB7601"/>
    <w:rsid w:val="00FC0C51"/>
    <w:rsid w:val="00FC3903"/>
    <w:rsid w:val="00FC6848"/>
    <w:rsid w:val="00FC7C4F"/>
    <w:rsid w:val="00FD2228"/>
    <w:rsid w:val="00FD64FC"/>
    <w:rsid w:val="00FE1B88"/>
    <w:rsid w:val="00FE6DB7"/>
    <w:rsid w:val="00FF23F8"/>
    <w:rsid w:val="00FF4AC8"/>
    <w:rsid w:val="00FF73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colormru v:ext="edit" colors="#104f75,#260859,#004712,#8a2529,#c2a204,#e87d1e"/>
    </o:shapedefaults>
    <o:shapelayout v:ext="edit">
      <o:idmap v:ext="edit" data="1"/>
    </o:shapelayout>
  </w:shapeDefaults>
  <w:decimalSymbol w:val="."/>
  <w:listSeparator w:val=","/>
  <w14:docId w14:val="0E60741D"/>
  <w15:docId w15:val="{FADD6B4F-7AAB-4F31-97E8-FDF6BFF76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semiHidden="1" w:unhideWhenUsed="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rsid w:val="00A709DC"/>
    <w:pPr>
      <w:spacing w:after="240" w:line="288" w:lineRule="auto"/>
    </w:pPr>
    <w:rPr>
      <w:color w:val="0D0D0D" w:themeColor="text1" w:themeTint="F2"/>
      <w:sz w:val="24"/>
      <w:szCs w:val="24"/>
    </w:rPr>
  </w:style>
  <w:style w:type="paragraph" w:styleId="Heading1">
    <w:name w:val="heading 1"/>
    <w:basedOn w:val="Normal"/>
    <w:next w:val="Normal"/>
    <w:link w:val="Heading1Char"/>
    <w:qFormat/>
    <w:rsid w:val="009F41B6"/>
    <w:pPr>
      <w:pageBreakBefore/>
      <w:spacing w:line="240" w:lineRule="auto"/>
      <w:outlineLvl w:val="0"/>
    </w:pPr>
    <w:rPr>
      <w:b/>
      <w:color w:val="104F75"/>
      <w:sz w:val="36"/>
    </w:rPr>
  </w:style>
  <w:style w:type="paragraph" w:styleId="Heading2">
    <w:name w:val="heading 2"/>
    <w:basedOn w:val="Normal"/>
    <w:next w:val="Normal"/>
    <w:link w:val="Heading2Char"/>
    <w:qFormat/>
    <w:rsid w:val="00760615"/>
    <w:pPr>
      <w:keepNext/>
      <w:spacing w:before="480" w:line="240" w:lineRule="auto"/>
      <w:outlineLvl w:val="1"/>
    </w:pPr>
    <w:rPr>
      <w:b/>
      <w:color w:val="104F75"/>
      <w:sz w:val="32"/>
      <w:szCs w:val="32"/>
    </w:rPr>
  </w:style>
  <w:style w:type="paragraph" w:styleId="Heading3">
    <w:name w:val="heading 3"/>
    <w:basedOn w:val="Heading2"/>
    <w:next w:val="Normal"/>
    <w:link w:val="Heading3Char"/>
    <w:qFormat/>
    <w:rsid w:val="00F70793"/>
    <w:pPr>
      <w:spacing w:before="360"/>
      <w:outlineLvl w:val="2"/>
    </w:pPr>
    <w:rPr>
      <w:bCs/>
      <w:sz w:val="28"/>
      <w:szCs w:val="28"/>
    </w:rPr>
  </w:style>
  <w:style w:type="paragraph" w:styleId="Heading4">
    <w:name w:val="heading 4"/>
    <w:basedOn w:val="Heading2"/>
    <w:next w:val="Normal"/>
    <w:link w:val="Heading4Char"/>
    <w:qFormat/>
    <w:rsid w:val="00C71E70"/>
    <w:pPr>
      <w:spacing w:before="240"/>
      <w:outlineLvl w:val="3"/>
    </w:pPr>
    <w:rPr>
      <w:bCs/>
      <w:sz w:val="24"/>
      <w:szCs w:val="28"/>
    </w:rPr>
  </w:style>
  <w:style w:type="paragraph" w:styleId="Heading5">
    <w:name w:val="heading 5"/>
    <w:basedOn w:val="Normal"/>
    <w:next w:val="Normal"/>
    <w:link w:val="Heading5Char"/>
    <w:semiHidden/>
    <w:unhideWhenUsed/>
    <w:qFormat/>
    <w:rsid w:val="008B427B"/>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1"/>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8B427B"/>
    <w:pPr>
      <w:numPr>
        <w:ilvl w:val="6"/>
        <w:numId w:val="1"/>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1"/>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F41B6"/>
    <w:rPr>
      <w:b/>
      <w:color w:val="104F75"/>
      <w:sz w:val="36"/>
      <w:szCs w:val="24"/>
    </w:rPr>
  </w:style>
  <w:style w:type="character" w:customStyle="1" w:styleId="Heading2Char">
    <w:name w:val="Heading 2 Char"/>
    <w:link w:val="Heading2"/>
    <w:rsid w:val="00760615"/>
    <w:rPr>
      <w:b/>
      <w:color w:val="104F75"/>
      <w:sz w:val="32"/>
      <w:szCs w:val="32"/>
    </w:rPr>
  </w:style>
  <w:style w:type="character" w:customStyle="1" w:styleId="Heading3Char">
    <w:name w:val="Heading 3 Char"/>
    <w:link w:val="Heading3"/>
    <w:rsid w:val="00F70793"/>
    <w:rPr>
      <w:b/>
      <w:bCs/>
      <w:color w:val="104F75"/>
      <w:sz w:val="28"/>
      <w:szCs w:val="28"/>
    </w:rPr>
  </w:style>
  <w:style w:type="character" w:styleId="Hyperlink">
    <w:name w:val="Hyperlink"/>
    <w:uiPriority w:val="99"/>
    <w:unhideWhenUsed/>
    <w:qFormat/>
    <w:rsid w:val="00FE1B88"/>
    <w:rPr>
      <w:rFonts w:ascii="Arial" w:hAnsi="Arial"/>
      <w:color w:val="0000FF"/>
      <w:sz w:val="24"/>
      <w:u w:val="single"/>
    </w:rPr>
  </w:style>
  <w:style w:type="paragraph" w:styleId="TOCHeading">
    <w:name w:val="TOC Heading"/>
    <w:basedOn w:val="Normal"/>
    <w:next w:val="Normal"/>
    <w:uiPriority w:val="39"/>
    <w:unhideWhenUsed/>
    <w:rsid w:val="00D05342"/>
    <w:pPr>
      <w:pageBreakBefore/>
    </w:pPr>
    <w:rPr>
      <w:rFonts w:cs="Arial"/>
      <w:b/>
      <w:color w:val="365F91"/>
      <w:sz w:val="36"/>
      <w:szCs w:val="28"/>
      <w:lang w:eastAsia="ja-JP"/>
    </w:rPr>
  </w:style>
  <w:style w:type="paragraph" w:customStyle="1" w:styleId="TitleText">
    <w:name w:val="TitleText"/>
    <w:basedOn w:val="Normal"/>
    <w:link w:val="TitleTextChar"/>
    <w:unhideWhenUsed/>
    <w:qFormat/>
    <w:rsid w:val="002634E2"/>
    <w:pPr>
      <w:spacing w:before="3600" w:line="240" w:lineRule="auto"/>
    </w:pPr>
    <w:rPr>
      <w:rFonts w:cs="Arial"/>
      <w:b/>
      <w:color w:val="104F75"/>
      <w:sz w:val="92"/>
      <w:szCs w:val="92"/>
    </w:rPr>
  </w:style>
  <w:style w:type="character" w:customStyle="1" w:styleId="TitleTextChar">
    <w:name w:val="TitleText Char"/>
    <w:link w:val="TitleText"/>
    <w:rsid w:val="002634E2"/>
    <w:rPr>
      <w:rFonts w:cs="Arial"/>
      <w:b/>
      <w:color w:val="104F75"/>
      <w:sz w:val="92"/>
      <w:szCs w:val="92"/>
    </w:rPr>
  </w:style>
  <w:style w:type="paragraph" w:customStyle="1" w:styleId="SubtitleText">
    <w:name w:val="SubtitleText"/>
    <w:basedOn w:val="Normal"/>
    <w:link w:val="SubtitleTextChar"/>
    <w:unhideWhenUsed/>
    <w:qFormat/>
    <w:rsid w:val="00E50AA2"/>
    <w:pPr>
      <w:spacing w:after="1520"/>
    </w:pPr>
    <w:rPr>
      <w:rFonts w:cs="Arial"/>
      <w:b/>
      <w:color w:val="104F75"/>
      <w:sz w:val="48"/>
      <w:szCs w:val="48"/>
    </w:rPr>
  </w:style>
  <w:style w:type="character" w:customStyle="1" w:styleId="SubtitleTextChar">
    <w:name w:val="SubtitleText Char"/>
    <w:link w:val="SubtitleText"/>
    <w:rsid w:val="00E50AA2"/>
    <w:rPr>
      <w:rFonts w:cs="Arial"/>
      <w:b/>
      <w:color w:val="104F75"/>
      <w:sz w:val="48"/>
      <w:szCs w:val="48"/>
    </w:rPr>
  </w:style>
  <w:style w:type="paragraph" w:styleId="ListBullet">
    <w:name w:val="List Bullet"/>
    <w:basedOn w:val="ListBullet5"/>
    <w:rsid w:val="00984AA8"/>
    <w:pPr>
      <w:numPr>
        <w:numId w:val="4"/>
      </w:numPr>
      <w:ind w:left="714" w:hanging="357"/>
      <w:contextualSpacing/>
    </w:pPr>
  </w:style>
  <w:style w:type="paragraph" w:styleId="TOC1">
    <w:name w:val="toc 1"/>
    <w:basedOn w:val="Normal"/>
    <w:next w:val="Normal"/>
    <w:autoRedefine/>
    <w:uiPriority w:val="39"/>
    <w:unhideWhenUsed/>
    <w:qFormat/>
    <w:rsid w:val="00C07E21"/>
    <w:pPr>
      <w:tabs>
        <w:tab w:val="right" w:pos="9498"/>
      </w:tabs>
      <w:spacing w:after="120"/>
    </w:pPr>
    <w:rPr>
      <w:rFonts w:eastAsia="Arial"/>
      <w:noProof/>
    </w:rPr>
  </w:style>
  <w:style w:type="paragraph" w:styleId="TOC2">
    <w:name w:val="toc 2"/>
    <w:basedOn w:val="Normal"/>
    <w:next w:val="Normal"/>
    <w:autoRedefine/>
    <w:uiPriority w:val="39"/>
    <w:unhideWhenUsed/>
    <w:qFormat/>
    <w:rsid w:val="00E92A89"/>
    <w:pPr>
      <w:tabs>
        <w:tab w:val="right" w:pos="9498"/>
      </w:tabs>
      <w:spacing w:after="120"/>
    </w:pPr>
    <w:rPr>
      <w:noProof/>
    </w:rPr>
  </w:style>
  <w:style w:type="paragraph" w:styleId="TOC3">
    <w:name w:val="toc 3"/>
    <w:basedOn w:val="Normal"/>
    <w:next w:val="Normal"/>
    <w:autoRedefine/>
    <w:uiPriority w:val="39"/>
    <w:unhideWhenUsed/>
    <w:qFormat/>
    <w:rsid w:val="00611F91"/>
    <w:pPr>
      <w:tabs>
        <w:tab w:val="right" w:pos="9498"/>
      </w:tabs>
      <w:spacing w:after="120"/>
      <w:ind w:left="480"/>
    </w:pPr>
    <w:rPr>
      <w:noProof/>
    </w:rPr>
  </w:style>
  <w:style w:type="paragraph" w:customStyle="1" w:styleId="CopyrightBox">
    <w:name w:val="CopyrightBox"/>
    <w:basedOn w:val="Normal"/>
    <w:link w:val="CopyrightBoxChar"/>
    <w:unhideWhenUsed/>
    <w:qFormat/>
    <w:rsid w:val="0090521B"/>
  </w:style>
  <w:style w:type="character" w:customStyle="1" w:styleId="CopyrightBoxChar">
    <w:name w:val="CopyrightBox Char"/>
    <w:link w:val="CopyrightBox"/>
    <w:rsid w:val="0090521B"/>
    <w:rPr>
      <w:color w:val="0D0D0D" w:themeColor="text1" w:themeTint="F2"/>
      <w:sz w:val="24"/>
      <w:szCs w:val="24"/>
    </w:rPr>
  </w:style>
  <w:style w:type="paragraph" w:customStyle="1" w:styleId="CopyrightSpacing">
    <w:name w:val="CopyrightSpacing"/>
    <w:basedOn w:val="Normal"/>
    <w:link w:val="CopyrightSpacingChar"/>
    <w:unhideWhenUsed/>
    <w:rsid w:val="0052566B"/>
    <w:pPr>
      <w:spacing w:before="6000" w:after="120"/>
    </w:pPr>
  </w:style>
  <w:style w:type="character" w:customStyle="1" w:styleId="CopyrightSpacingChar">
    <w:name w:val="CopyrightSpacing Char"/>
    <w:link w:val="CopyrightSpacing"/>
    <w:rsid w:val="0052566B"/>
    <w:rPr>
      <w:sz w:val="24"/>
      <w:szCs w:val="24"/>
    </w:rPr>
  </w:style>
  <w:style w:type="paragraph" w:styleId="Title">
    <w:name w:val="Title"/>
    <w:basedOn w:val="Normal"/>
    <w:next w:val="Normal"/>
    <w:link w:val="TitleChar"/>
    <w:unhideWhenUsed/>
    <w:qFormat/>
    <w:rsid w:val="00780950"/>
    <w:pPr>
      <w:spacing w:before="240" w:line="240" w:lineRule="auto"/>
    </w:pPr>
    <w:rPr>
      <w:b/>
      <w:color w:val="104F75"/>
      <w:sz w:val="96"/>
      <w:szCs w:val="120"/>
    </w:rPr>
  </w:style>
  <w:style w:type="character" w:customStyle="1" w:styleId="TitleChar">
    <w:name w:val="Title Char"/>
    <w:link w:val="Title"/>
    <w:rsid w:val="00FE1B88"/>
    <w:rPr>
      <w:rFonts w:ascii="Arial" w:hAnsi="Arial" w:cs="Arial"/>
      <w:b/>
      <w:color w:val="104F75"/>
      <w:sz w:val="96"/>
      <w:szCs w:val="120"/>
      <w:lang w:eastAsia="en-US"/>
    </w:rPr>
  </w:style>
  <w:style w:type="paragraph" w:styleId="TableofFigures">
    <w:name w:val="table of figures"/>
    <w:basedOn w:val="Normal"/>
    <w:next w:val="Normal"/>
    <w:uiPriority w:val="99"/>
    <w:unhideWhenUsed/>
    <w:rsid w:val="004A25DF"/>
    <w:pPr>
      <w:spacing w:after="120"/>
    </w:pPr>
  </w:style>
  <w:style w:type="paragraph" w:styleId="ListBullet4">
    <w:name w:val="List Bullet 4"/>
    <w:basedOn w:val="Normal"/>
    <w:rsid w:val="00E50AA2"/>
    <w:pPr>
      <w:numPr>
        <w:numId w:val="3"/>
      </w:numPr>
      <w:contextualSpacing/>
    </w:pPr>
  </w:style>
  <w:style w:type="paragraph" w:styleId="ListParagraph">
    <w:name w:val="List Paragraph"/>
    <w:aliases w:val="NumberedList,Colorful List - Accent 11"/>
    <w:basedOn w:val="Normal"/>
    <w:link w:val="ListParagraphChar"/>
    <w:uiPriority w:val="34"/>
    <w:qFormat/>
    <w:rsid w:val="00984AA8"/>
    <w:pPr>
      <w:numPr>
        <w:numId w:val="7"/>
      </w:numPr>
      <w:contextualSpacing/>
    </w:pPr>
  </w:style>
  <w:style w:type="paragraph" w:styleId="Caption">
    <w:name w:val="caption"/>
    <w:basedOn w:val="Normal"/>
    <w:next w:val="Normal"/>
    <w:qFormat/>
    <w:rsid w:val="00D21B4A"/>
    <w:pPr>
      <w:spacing w:before="120" w:after="120"/>
      <w:jc w:val="center"/>
    </w:pPr>
    <w:rPr>
      <w:b/>
      <w:bCs/>
      <w:color w:val="000000" w:themeColor="text1"/>
      <w:sz w:val="20"/>
      <w:szCs w:val="20"/>
    </w:rPr>
  </w:style>
  <w:style w:type="character" w:customStyle="1" w:styleId="Heading4Char">
    <w:name w:val="Heading 4 Char"/>
    <w:link w:val="Heading4"/>
    <w:rsid w:val="00C71E70"/>
    <w:rPr>
      <w:b/>
      <w:bCs/>
      <w:color w:val="104F75"/>
      <w:sz w:val="24"/>
      <w:szCs w:val="28"/>
    </w:rPr>
  </w:style>
  <w:style w:type="character" w:customStyle="1" w:styleId="Heading5Char">
    <w:name w:val="Heading 5 Char"/>
    <w:link w:val="Heading5"/>
    <w:semiHidden/>
    <w:rsid w:val="008B427B"/>
    <w:rPr>
      <w:rFonts w:ascii="Calibri" w:hAnsi="Calibri"/>
      <w:b/>
      <w:bCs/>
      <w:i/>
      <w:iCs/>
      <w:color w:val="0D0D0D" w:themeColor="text1" w:themeTint="F2"/>
      <w:sz w:val="26"/>
      <w:szCs w:val="26"/>
    </w:rPr>
  </w:style>
  <w:style w:type="character" w:customStyle="1" w:styleId="Heading6Char">
    <w:name w:val="Heading 6 Char"/>
    <w:link w:val="Heading6"/>
    <w:semiHidden/>
    <w:rsid w:val="008B427B"/>
    <w:rPr>
      <w:rFonts w:ascii="Calibri" w:hAnsi="Calibri"/>
      <w:b/>
      <w:bCs/>
      <w:color w:val="0D0D0D" w:themeColor="text1" w:themeTint="F2"/>
      <w:sz w:val="24"/>
      <w:szCs w:val="22"/>
    </w:rPr>
  </w:style>
  <w:style w:type="character" w:customStyle="1" w:styleId="Heading7Char">
    <w:name w:val="Heading 7 Char"/>
    <w:link w:val="Heading7"/>
    <w:semiHidden/>
    <w:rsid w:val="008B427B"/>
    <w:rPr>
      <w:rFonts w:ascii="Calibri" w:hAnsi="Calibri"/>
      <w:color w:val="0D0D0D" w:themeColor="text1" w:themeTint="F2"/>
      <w:sz w:val="24"/>
      <w:szCs w:val="24"/>
    </w:rPr>
  </w:style>
  <w:style w:type="character" w:customStyle="1" w:styleId="Heading8Char">
    <w:name w:val="Heading 8 Char"/>
    <w:link w:val="Heading8"/>
    <w:semiHidden/>
    <w:rsid w:val="008B427B"/>
    <w:rPr>
      <w:rFonts w:ascii="Calibri" w:hAnsi="Calibri"/>
      <w:i/>
      <w:iCs/>
      <w:color w:val="0D0D0D" w:themeColor="text1" w:themeTint="F2"/>
      <w:sz w:val="24"/>
      <w:szCs w:val="24"/>
    </w:rPr>
  </w:style>
  <w:style w:type="character" w:customStyle="1" w:styleId="Heading9Char">
    <w:name w:val="Heading 9 Char"/>
    <w:link w:val="Heading9"/>
    <w:semiHidden/>
    <w:rsid w:val="008B427B"/>
    <w:rPr>
      <w:rFonts w:ascii="Cambria" w:hAnsi="Cambria"/>
      <w:color w:val="0D0D0D" w:themeColor="text1" w:themeTint="F2"/>
      <w:sz w:val="24"/>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table" w:styleId="TableGrid">
    <w:name w:val="Table Grid"/>
    <w:basedOn w:val="TableNormal"/>
    <w:uiPriority w:val="59"/>
    <w:rsid w:val="00AA3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Header"/>
    <w:qFormat/>
    <w:rsid w:val="001321D2"/>
    <w:pPr>
      <w:spacing w:before="60" w:after="60"/>
      <w:ind w:left="57" w:right="57"/>
      <w:jc w:val="center"/>
    </w:pPr>
    <w:rPr>
      <w:b/>
      <w:color w:val="0D0D0D" w:themeColor="text1" w:themeTint="F2"/>
      <w:sz w:val="24"/>
      <w:szCs w:val="24"/>
    </w:r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paragraph" w:customStyle="1" w:styleId="TableRow">
    <w:name w:val="TableRow"/>
    <w:link w:val="TableRowChar"/>
    <w:qFormat/>
    <w:rsid w:val="001321D2"/>
    <w:pPr>
      <w:spacing w:before="60" w:after="60"/>
      <w:ind w:left="57" w:right="57"/>
    </w:pPr>
    <w:rPr>
      <w:color w:val="0D0D0D" w:themeColor="text1" w:themeTint="F2"/>
      <w:sz w:val="24"/>
      <w:szCs w:val="24"/>
    </w:rPr>
  </w:style>
  <w:style w:type="character" w:customStyle="1" w:styleId="TableRowChar">
    <w:name w:val="TableRow Char"/>
    <w:link w:val="TableRow"/>
    <w:rsid w:val="001321D2"/>
    <w:rPr>
      <w:color w:val="0D0D0D" w:themeColor="text1" w:themeTint="F2"/>
      <w:sz w:val="24"/>
      <w:szCs w:val="24"/>
    </w:rPr>
  </w:style>
  <w:style w:type="paragraph" w:styleId="Header">
    <w:name w:val="header"/>
    <w:basedOn w:val="Normal"/>
    <w:link w:val="HeaderChar"/>
    <w:unhideWhenUsed/>
    <w:rsid w:val="005C657D"/>
    <w:pPr>
      <w:tabs>
        <w:tab w:val="center" w:pos="4513"/>
        <w:tab w:val="right" w:pos="9026"/>
      </w:tabs>
      <w:spacing w:after="0" w:line="240" w:lineRule="auto"/>
    </w:pPr>
  </w:style>
  <w:style w:type="character" w:customStyle="1" w:styleId="HeaderChar">
    <w:name w:val="Header Char"/>
    <w:basedOn w:val="DefaultParagraphFont"/>
    <w:link w:val="Header"/>
    <w:rsid w:val="005C657D"/>
    <w:rPr>
      <w:sz w:val="24"/>
      <w:szCs w:val="24"/>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styleId="FollowedHyperlink">
    <w:name w:val="FollowedHyperlink"/>
    <w:basedOn w:val="DefaultParagraphFont"/>
    <w:semiHidden/>
    <w:unhideWhenUsed/>
    <w:rsid w:val="00B64265"/>
    <w:rPr>
      <w:color w:val="800080" w:themeColor="followedHyperlink"/>
      <w:u w:val="single"/>
    </w:rPr>
  </w:style>
  <w:style w:type="paragraph" w:styleId="FootnoteText">
    <w:name w:val="footnote text"/>
    <w:basedOn w:val="Normal"/>
    <w:link w:val="FootnoteTextChar"/>
    <w:uiPriority w:val="99"/>
    <w:unhideWhenUsed/>
    <w:rsid w:val="007F1ACB"/>
    <w:pPr>
      <w:spacing w:after="60" w:line="240" w:lineRule="auto"/>
    </w:pPr>
    <w:rPr>
      <w:sz w:val="20"/>
      <w:szCs w:val="20"/>
    </w:rPr>
  </w:style>
  <w:style w:type="character" w:customStyle="1" w:styleId="FootnoteTextChar">
    <w:name w:val="Footnote Text Char"/>
    <w:basedOn w:val="DefaultParagraphFont"/>
    <w:link w:val="FootnoteText"/>
    <w:uiPriority w:val="99"/>
    <w:rsid w:val="007F1ACB"/>
  </w:style>
  <w:style w:type="character" w:styleId="FootnoteReference">
    <w:name w:val="footnote reference"/>
    <w:basedOn w:val="DefaultParagraphFont"/>
    <w:uiPriority w:val="99"/>
    <w:semiHidden/>
    <w:unhideWhenUsed/>
    <w:rsid w:val="007E06DD"/>
    <w:rPr>
      <w:vertAlign w:val="superscript"/>
    </w:rPr>
  </w:style>
  <w:style w:type="character" w:customStyle="1" w:styleId="RGB">
    <w:name w:val="RGB"/>
    <w:basedOn w:val="DefaultParagraphFont"/>
    <w:rsid w:val="00956CF7"/>
    <w:rPr>
      <w:b/>
      <w:bCs/>
      <w:sz w:val="20"/>
    </w:rPr>
  </w:style>
  <w:style w:type="paragraph" w:customStyle="1" w:styleId="ColouredBoxHeadline">
    <w:name w:val="Coloured Box Headline"/>
    <w:basedOn w:val="Normal"/>
    <w:rsid w:val="00956CF7"/>
    <w:pPr>
      <w:spacing w:before="120"/>
    </w:pPr>
    <w:rPr>
      <w:b/>
      <w:bCs/>
      <w:sz w:val="28"/>
      <w:szCs w:val="20"/>
    </w:rPr>
  </w:style>
  <w:style w:type="character" w:customStyle="1" w:styleId="RGBValues">
    <w:name w:val="RGB Values"/>
    <w:basedOn w:val="DefaultParagraphFont"/>
    <w:rsid w:val="00956CF7"/>
    <w:rPr>
      <w:sz w:val="20"/>
    </w:rPr>
  </w:style>
  <w:style w:type="paragraph" w:styleId="ListBullet5">
    <w:name w:val="List Bullet 5"/>
    <w:basedOn w:val="Normal"/>
    <w:rsid w:val="00E50AA2"/>
  </w:style>
  <w:style w:type="character" w:styleId="CommentReference">
    <w:name w:val="annotation reference"/>
    <w:basedOn w:val="DefaultParagraphFont"/>
    <w:uiPriority w:val="99"/>
    <w:unhideWhenUsed/>
    <w:rsid w:val="0090521B"/>
  </w:style>
  <w:style w:type="paragraph" w:styleId="CommentText">
    <w:name w:val="annotation text"/>
    <w:basedOn w:val="Normal"/>
    <w:link w:val="CommentTextChar"/>
    <w:uiPriority w:val="99"/>
    <w:unhideWhenUsed/>
    <w:rsid w:val="00FC6848"/>
    <w:pPr>
      <w:spacing w:line="240" w:lineRule="auto"/>
    </w:pPr>
    <w:rPr>
      <w:sz w:val="20"/>
      <w:szCs w:val="20"/>
    </w:rPr>
  </w:style>
  <w:style w:type="character" w:customStyle="1" w:styleId="CommentTextChar">
    <w:name w:val="Comment Text Char"/>
    <w:basedOn w:val="DefaultParagraphFont"/>
    <w:link w:val="CommentText"/>
    <w:uiPriority w:val="99"/>
    <w:rsid w:val="00FC6848"/>
  </w:style>
  <w:style w:type="paragraph" w:styleId="CommentSubject">
    <w:name w:val="annotation subject"/>
    <w:basedOn w:val="CommentText"/>
    <w:next w:val="CommentText"/>
    <w:link w:val="CommentSubjectChar"/>
    <w:semiHidden/>
    <w:unhideWhenUsed/>
    <w:rsid w:val="00FC6848"/>
    <w:rPr>
      <w:b/>
      <w:bCs/>
    </w:rPr>
  </w:style>
  <w:style w:type="character" w:customStyle="1" w:styleId="CommentSubjectChar">
    <w:name w:val="Comment Subject Char"/>
    <w:basedOn w:val="CommentTextChar"/>
    <w:link w:val="CommentSubject"/>
    <w:semiHidden/>
    <w:rsid w:val="00FC6848"/>
    <w:rPr>
      <w:b/>
      <w:bCs/>
    </w:rPr>
  </w:style>
  <w:style w:type="paragraph" w:customStyle="1" w:styleId="Centredembed">
    <w:name w:val="Centred embed"/>
    <w:basedOn w:val="Normal"/>
    <w:rsid w:val="00626DD2"/>
    <w:pPr>
      <w:spacing w:after="0"/>
      <w:jc w:val="center"/>
    </w:pPr>
    <w:rPr>
      <w:szCs w:val="20"/>
    </w:rPr>
  </w:style>
  <w:style w:type="paragraph" w:styleId="Date">
    <w:name w:val="Date"/>
    <w:basedOn w:val="Normal"/>
    <w:next w:val="Normal"/>
    <w:link w:val="DateChar"/>
    <w:unhideWhenUsed/>
    <w:rsid w:val="00E50AA2"/>
    <w:rPr>
      <w:rFonts w:cs="Arial"/>
      <w:b/>
      <w:bCs/>
      <w:color w:val="104F75"/>
      <w:sz w:val="44"/>
      <w:szCs w:val="44"/>
    </w:rPr>
  </w:style>
  <w:style w:type="character" w:customStyle="1" w:styleId="DateChar">
    <w:name w:val="Date Char"/>
    <w:basedOn w:val="DefaultParagraphFont"/>
    <w:link w:val="Date"/>
    <w:rsid w:val="00E50AA2"/>
    <w:rPr>
      <w:rFonts w:cs="Arial"/>
      <w:b/>
      <w:bCs/>
      <w:color w:val="104F75"/>
      <w:sz w:val="44"/>
      <w:szCs w:val="44"/>
    </w:rPr>
  </w:style>
  <w:style w:type="character" w:customStyle="1" w:styleId="SourceChar">
    <w:name w:val="Source Char"/>
    <w:basedOn w:val="DefaultParagraphFont"/>
    <w:link w:val="Source"/>
    <w:locked/>
    <w:rsid w:val="0043261E"/>
  </w:style>
  <w:style w:type="paragraph" w:customStyle="1" w:styleId="Source">
    <w:name w:val="Source"/>
    <w:basedOn w:val="Normal"/>
    <w:link w:val="SourceChar"/>
    <w:qFormat/>
    <w:rsid w:val="0043261E"/>
    <w:pPr>
      <w:jc w:val="right"/>
    </w:pPr>
    <w:rPr>
      <w:sz w:val="20"/>
      <w:szCs w:val="20"/>
    </w:rPr>
  </w:style>
  <w:style w:type="paragraph" w:customStyle="1" w:styleId="DfESOutNumbered1">
    <w:name w:val="DfESOutNumbered1"/>
    <w:basedOn w:val="Normal"/>
    <w:link w:val="DfESOutNumbered1Char"/>
    <w:qFormat/>
    <w:rsid w:val="007A0750"/>
    <w:pPr>
      <w:numPr>
        <w:numId w:val="2"/>
      </w:numPr>
    </w:pPr>
  </w:style>
  <w:style w:type="character" w:customStyle="1" w:styleId="DfESOutNumbered1Char">
    <w:name w:val="DfESOutNumbered1 Char"/>
    <w:link w:val="DfESOutNumbered1"/>
    <w:rsid w:val="007A0750"/>
    <w:rPr>
      <w:color w:val="0D0D0D" w:themeColor="text1" w:themeTint="F2"/>
      <w:sz w:val="24"/>
      <w:szCs w:val="24"/>
    </w:rPr>
  </w:style>
  <w:style w:type="paragraph" w:customStyle="1" w:styleId="TableRowRight">
    <w:name w:val="TableRowRight"/>
    <w:basedOn w:val="TableRow"/>
    <w:rsid w:val="00766306"/>
    <w:pPr>
      <w:jc w:val="right"/>
    </w:pPr>
    <w:rPr>
      <w:szCs w:val="20"/>
    </w:rPr>
  </w:style>
  <w:style w:type="paragraph" w:customStyle="1" w:styleId="TableRowCentered">
    <w:name w:val="TableRowCentered"/>
    <w:basedOn w:val="TableRow"/>
    <w:rsid w:val="00766306"/>
    <w:pPr>
      <w:jc w:val="center"/>
    </w:pPr>
    <w:rPr>
      <w:szCs w:val="20"/>
    </w:rPr>
  </w:style>
  <w:style w:type="paragraph" w:customStyle="1" w:styleId="SocialMedia">
    <w:name w:val="SocialMedia"/>
    <w:basedOn w:val="Normal"/>
    <w:link w:val="SocialMediaChar"/>
    <w:rsid w:val="00AE5177"/>
    <w:pPr>
      <w:tabs>
        <w:tab w:val="left" w:pos="4253"/>
        <w:tab w:val="left" w:pos="4820"/>
      </w:tabs>
      <w:spacing w:after="0" w:line="240" w:lineRule="auto"/>
      <w:ind w:firstLine="34"/>
    </w:pPr>
    <w:rPr>
      <w:noProof/>
    </w:rPr>
  </w:style>
  <w:style w:type="paragraph" w:customStyle="1" w:styleId="Reference">
    <w:name w:val="Reference"/>
    <w:basedOn w:val="Normal"/>
    <w:link w:val="ReferenceChar"/>
    <w:rsid w:val="007D29D3"/>
    <w:pPr>
      <w:tabs>
        <w:tab w:val="left" w:pos="1701"/>
      </w:tabs>
      <w:spacing w:before="240"/>
    </w:pPr>
  </w:style>
  <w:style w:type="character" w:customStyle="1" w:styleId="SocialMediaChar">
    <w:name w:val="SocialMedia Char"/>
    <w:basedOn w:val="DefaultParagraphFont"/>
    <w:link w:val="SocialMedia"/>
    <w:rsid w:val="00AE5177"/>
    <w:rPr>
      <w:noProof/>
      <w:sz w:val="24"/>
      <w:szCs w:val="24"/>
    </w:rPr>
  </w:style>
  <w:style w:type="paragraph" w:customStyle="1" w:styleId="Licence">
    <w:name w:val="Licence"/>
    <w:basedOn w:val="Normal"/>
    <w:link w:val="LicenceChar"/>
    <w:rsid w:val="00095901"/>
    <w:pPr>
      <w:tabs>
        <w:tab w:val="left" w:pos="1418"/>
      </w:tabs>
      <w:ind w:left="284"/>
      <w:contextualSpacing/>
    </w:pPr>
  </w:style>
  <w:style w:type="character" w:customStyle="1" w:styleId="ReferenceChar">
    <w:name w:val="Reference Char"/>
    <w:basedOn w:val="DefaultParagraphFont"/>
    <w:link w:val="Reference"/>
    <w:rsid w:val="007D29D3"/>
    <w:rPr>
      <w:color w:val="0D0D0D" w:themeColor="text1" w:themeTint="F2"/>
      <w:sz w:val="24"/>
      <w:szCs w:val="24"/>
    </w:rPr>
  </w:style>
  <w:style w:type="paragraph" w:customStyle="1" w:styleId="LicenceIntro">
    <w:name w:val="LicenceIntro"/>
    <w:basedOn w:val="Licence"/>
    <w:rsid w:val="00113E8C"/>
    <w:pPr>
      <w:spacing w:after="0"/>
      <w:ind w:left="0"/>
    </w:pPr>
    <w:rPr>
      <w:szCs w:val="20"/>
    </w:rPr>
  </w:style>
  <w:style w:type="character" w:customStyle="1" w:styleId="LicenceChar">
    <w:name w:val="Licence Char"/>
    <w:basedOn w:val="DefaultParagraphFont"/>
    <w:link w:val="Licence"/>
    <w:rsid w:val="00095901"/>
    <w:rPr>
      <w:sz w:val="24"/>
      <w:szCs w:val="24"/>
    </w:rPr>
  </w:style>
  <w:style w:type="paragraph" w:styleId="ListBullet2">
    <w:name w:val="List Bullet 2"/>
    <w:basedOn w:val="Normal"/>
    <w:rsid w:val="00984AA8"/>
    <w:pPr>
      <w:numPr>
        <w:numId w:val="5"/>
      </w:numPr>
      <w:tabs>
        <w:tab w:val="clear" w:pos="643"/>
        <w:tab w:val="num" w:pos="1134"/>
      </w:tabs>
      <w:ind w:left="1134"/>
      <w:contextualSpacing/>
    </w:pPr>
  </w:style>
  <w:style w:type="paragraph" w:customStyle="1" w:styleId="Logos">
    <w:name w:val="Logos"/>
    <w:basedOn w:val="Normal"/>
    <w:link w:val="LogosChar"/>
    <w:rsid w:val="002B2775"/>
    <w:pPr>
      <w:pageBreakBefore/>
      <w:widowControl w:val="0"/>
    </w:pPr>
    <w:rPr>
      <w:noProof/>
    </w:rPr>
  </w:style>
  <w:style w:type="character" w:customStyle="1" w:styleId="LogosChar">
    <w:name w:val="Logos Char"/>
    <w:basedOn w:val="DefaultParagraphFont"/>
    <w:link w:val="Logos"/>
    <w:rsid w:val="002B2775"/>
    <w:rPr>
      <w:noProof/>
      <w:color w:val="0D0D0D" w:themeColor="text1" w:themeTint="F2"/>
      <w:sz w:val="24"/>
      <w:szCs w:val="24"/>
    </w:rPr>
  </w:style>
  <w:style w:type="paragraph" w:styleId="ListBullet3">
    <w:name w:val="List Bullet 3"/>
    <w:basedOn w:val="Normal"/>
    <w:rsid w:val="00984AA8"/>
    <w:pPr>
      <w:numPr>
        <w:numId w:val="6"/>
      </w:numPr>
      <w:contextualSpacing/>
    </w:pPr>
  </w:style>
  <w:style w:type="paragraph" w:customStyle="1" w:styleId="DfESOutNumbered">
    <w:name w:val="DfESOutNumbered"/>
    <w:basedOn w:val="Normal"/>
    <w:link w:val="DfESOutNumberedChar"/>
    <w:rsid w:val="00562261"/>
    <w:pPr>
      <w:widowControl w:val="0"/>
      <w:numPr>
        <w:numId w:val="8"/>
      </w:numPr>
      <w:overflowPunct w:val="0"/>
      <w:autoSpaceDE w:val="0"/>
      <w:autoSpaceDN w:val="0"/>
      <w:adjustRightInd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link w:val="DfESOutNumbered"/>
    <w:rsid w:val="00562261"/>
    <w:rPr>
      <w:rFonts w:cs="Arial"/>
      <w:noProof/>
      <w:color w:val="0D0D0D" w:themeColor="text1" w:themeTint="F2"/>
      <w:sz w:val="22"/>
      <w:szCs w:val="24"/>
      <w:lang w:eastAsia="en-US"/>
    </w:rPr>
  </w:style>
  <w:style w:type="paragraph" w:customStyle="1" w:styleId="DeptBullets">
    <w:name w:val="DeptBullets"/>
    <w:basedOn w:val="Normal"/>
    <w:link w:val="DeptBulletsChar"/>
    <w:rsid w:val="00562261"/>
    <w:pPr>
      <w:widowControl w:val="0"/>
      <w:numPr>
        <w:numId w:val="9"/>
      </w:numPr>
      <w:overflowPunct w:val="0"/>
      <w:autoSpaceDE w:val="0"/>
      <w:autoSpaceDN w:val="0"/>
      <w:adjustRightInd w:val="0"/>
      <w:spacing w:line="240" w:lineRule="auto"/>
      <w:textAlignment w:val="baseline"/>
    </w:pPr>
    <w:rPr>
      <w:color w:val="auto"/>
      <w:szCs w:val="20"/>
      <w:lang w:eastAsia="en-US"/>
    </w:rPr>
  </w:style>
  <w:style w:type="character" w:customStyle="1" w:styleId="DeptBulletsChar">
    <w:name w:val="DeptBullets Char"/>
    <w:basedOn w:val="LogosChar"/>
    <w:link w:val="DeptBullets"/>
    <w:rsid w:val="00562261"/>
    <w:rPr>
      <w:noProof/>
      <w:color w:val="0D0D0D" w:themeColor="text1" w:themeTint="F2"/>
      <w:sz w:val="24"/>
      <w:szCs w:val="24"/>
      <w:lang w:eastAsia="en-US"/>
    </w:rPr>
  </w:style>
  <w:style w:type="paragraph" w:customStyle="1" w:styleId="TOCHeader">
    <w:name w:val="TOC Header"/>
    <w:link w:val="TOCHeaderChar"/>
    <w:unhideWhenUsed/>
    <w:rsid w:val="00AB1AF9"/>
    <w:pPr>
      <w:pageBreakBefore/>
    </w:pPr>
    <w:rPr>
      <w:b/>
      <w:color w:val="104F75"/>
      <w:sz w:val="36"/>
      <w:szCs w:val="24"/>
    </w:rPr>
  </w:style>
  <w:style w:type="character" w:customStyle="1" w:styleId="TOCHeaderChar">
    <w:name w:val="TOC Header Char"/>
    <w:link w:val="TOCHeader"/>
    <w:rsid w:val="00AB1AF9"/>
    <w:rPr>
      <w:b/>
      <w:color w:val="104F75"/>
      <w:sz w:val="36"/>
      <w:szCs w:val="24"/>
    </w:rPr>
  </w:style>
  <w:style w:type="paragraph" w:customStyle="1" w:styleId="role">
    <w:name w:val="role"/>
    <w:basedOn w:val="Normal"/>
    <w:rsid w:val="0091025E"/>
    <w:pPr>
      <w:spacing w:before="100" w:beforeAutospacing="1" w:after="100" w:afterAutospacing="1" w:line="240" w:lineRule="auto"/>
    </w:pPr>
    <w:rPr>
      <w:rFonts w:ascii="Times New Roman" w:hAnsi="Times New Roman"/>
      <w:color w:val="auto"/>
      <w:lang w:val="en-US" w:eastAsia="en-US"/>
    </w:rPr>
  </w:style>
  <w:style w:type="paragraph" w:customStyle="1" w:styleId="Default">
    <w:name w:val="Default"/>
    <w:rsid w:val="0091025E"/>
    <w:pPr>
      <w:autoSpaceDE w:val="0"/>
      <w:autoSpaceDN w:val="0"/>
      <w:adjustRightInd w:val="0"/>
    </w:pPr>
    <w:rPr>
      <w:rFonts w:ascii="Webdings" w:eastAsiaTheme="minorHAnsi" w:hAnsi="Webdings" w:cs="Webdings"/>
      <w:color w:val="000000"/>
      <w:sz w:val="24"/>
      <w:szCs w:val="24"/>
      <w:lang w:eastAsia="en-US"/>
    </w:rPr>
  </w:style>
  <w:style w:type="character" w:customStyle="1" w:styleId="ListParagraphChar">
    <w:name w:val="List Paragraph Char"/>
    <w:aliases w:val="NumberedList Char,Colorful List - Accent 11 Char"/>
    <w:link w:val="ListParagraph"/>
    <w:uiPriority w:val="34"/>
    <w:rsid w:val="0091025E"/>
    <w:rPr>
      <w:color w:val="0D0D0D" w:themeColor="text1" w:themeTint="F2"/>
      <w:sz w:val="24"/>
      <w:szCs w:val="24"/>
    </w:rPr>
  </w:style>
  <w:style w:type="paragraph" w:styleId="NormalWeb">
    <w:name w:val="Normal (Web)"/>
    <w:basedOn w:val="Normal"/>
    <w:uiPriority w:val="99"/>
    <w:unhideWhenUsed/>
    <w:rsid w:val="00B26579"/>
    <w:pPr>
      <w:spacing w:before="100" w:beforeAutospacing="1" w:after="100" w:afterAutospacing="1" w:line="240" w:lineRule="auto"/>
    </w:pPr>
    <w:rPr>
      <w:rFonts w:ascii="Times New Roman" w:hAnsi="Times New Roman"/>
      <w:color w:val="auto"/>
    </w:rPr>
  </w:style>
  <w:style w:type="paragraph" w:customStyle="1" w:styleId="Body">
    <w:name w:val="Body"/>
    <w:rsid w:val="004671CA"/>
    <w:pPr>
      <w:pBdr>
        <w:top w:val="nil"/>
        <w:left w:val="nil"/>
        <w:bottom w:val="nil"/>
        <w:right w:val="nil"/>
        <w:between w:val="nil"/>
        <w:bar w:val="nil"/>
      </w:pBdr>
      <w:spacing w:after="240" w:line="288" w:lineRule="auto"/>
    </w:pPr>
    <w:rPr>
      <w:rFonts w:eastAsia="Arial" w:cs="Arial"/>
      <w:color w:val="0D0D0D"/>
      <w:sz w:val="24"/>
      <w:szCs w:val="24"/>
      <w:u w:color="0D0D0D"/>
      <w:bdr w:val="nil"/>
      <w:lang w:eastAsia="en-US"/>
    </w:rPr>
  </w:style>
  <w:style w:type="paragraph" w:styleId="NoSpacing">
    <w:name w:val="No Spacing"/>
    <w:uiPriority w:val="1"/>
    <w:qFormat/>
    <w:rsid w:val="00013D08"/>
    <w:rPr>
      <w:rFonts w:asciiTheme="minorHAnsi" w:eastAsiaTheme="minorHAnsi" w:hAnsiTheme="minorHAnsi" w:cstheme="minorBidi"/>
      <w:sz w:val="22"/>
      <w:szCs w:val="22"/>
      <w:lang w:eastAsia="en-US"/>
    </w:rPr>
  </w:style>
  <w:style w:type="character" w:styleId="PlaceholderText">
    <w:name w:val="Placeholder Text"/>
    <w:basedOn w:val="DefaultParagraphFont"/>
    <w:rsid w:val="00357666"/>
    <w:rPr>
      <w:color w:val="808080"/>
    </w:rPr>
  </w:style>
  <w:style w:type="numbering" w:customStyle="1" w:styleId="LFO25">
    <w:name w:val="LFO25"/>
    <w:basedOn w:val="NoList"/>
    <w:rsid w:val="00324362"/>
    <w:pPr>
      <w:numPr>
        <w:numId w:val="3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44484">
      <w:bodyDiv w:val="1"/>
      <w:marLeft w:val="0"/>
      <w:marRight w:val="0"/>
      <w:marTop w:val="0"/>
      <w:marBottom w:val="0"/>
      <w:divBdr>
        <w:top w:val="none" w:sz="0" w:space="0" w:color="auto"/>
        <w:left w:val="none" w:sz="0" w:space="0" w:color="auto"/>
        <w:bottom w:val="none" w:sz="0" w:space="0" w:color="auto"/>
        <w:right w:val="none" w:sz="0" w:space="0" w:color="auto"/>
      </w:divBdr>
      <w:divsChild>
        <w:div w:id="851841277">
          <w:marLeft w:val="0"/>
          <w:marRight w:val="0"/>
          <w:marTop w:val="0"/>
          <w:marBottom w:val="0"/>
          <w:divBdr>
            <w:top w:val="none" w:sz="0" w:space="0" w:color="auto"/>
            <w:left w:val="none" w:sz="0" w:space="0" w:color="auto"/>
            <w:bottom w:val="none" w:sz="0" w:space="0" w:color="auto"/>
            <w:right w:val="none" w:sz="0" w:space="0" w:color="auto"/>
          </w:divBdr>
        </w:div>
        <w:div w:id="1231035881">
          <w:marLeft w:val="0"/>
          <w:marRight w:val="0"/>
          <w:marTop w:val="0"/>
          <w:marBottom w:val="0"/>
          <w:divBdr>
            <w:top w:val="none" w:sz="0" w:space="0" w:color="auto"/>
            <w:left w:val="none" w:sz="0" w:space="0" w:color="auto"/>
            <w:bottom w:val="none" w:sz="0" w:space="0" w:color="auto"/>
            <w:right w:val="none" w:sz="0" w:space="0" w:color="auto"/>
          </w:divBdr>
        </w:div>
        <w:div w:id="375853244">
          <w:marLeft w:val="0"/>
          <w:marRight w:val="0"/>
          <w:marTop w:val="0"/>
          <w:marBottom w:val="0"/>
          <w:divBdr>
            <w:top w:val="none" w:sz="0" w:space="0" w:color="auto"/>
            <w:left w:val="none" w:sz="0" w:space="0" w:color="auto"/>
            <w:bottom w:val="none" w:sz="0" w:space="0" w:color="auto"/>
            <w:right w:val="none" w:sz="0" w:space="0" w:color="auto"/>
          </w:divBdr>
        </w:div>
        <w:div w:id="457458984">
          <w:marLeft w:val="0"/>
          <w:marRight w:val="0"/>
          <w:marTop w:val="0"/>
          <w:marBottom w:val="0"/>
          <w:divBdr>
            <w:top w:val="none" w:sz="0" w:space="0" w:color="auto"/>
            <w:left w:val="none" w:sz="0" w:space="0" w:color="auto"/>
            <w:bottom w:val="none" w:sz="0" w:space="0" w:color="auto"/>
            <w:right w:val="none" w:sz="0" w:space="0" w:color="auto"/>
          </w:divBdr>
        </w:div>
        <w:div w:id="1056659154">
          <w:marLeft w:val="0"/>
          <w:marRight w:val="0"/>
          <w:marTop w:val="0"/>
          <w:marBottom w:val="0"/>
          <w:divBdr>
            <w:top w:val="none" w:sz="0" w:space="0" w:color="auto"/>
            <w:left w:val="none" w:sz="0" w:space="0" w:color="auto"/>
            <w:bottom w:val="none" w:sz="0" w:space="0" w:color="auto"/>
            <w:right w:val="none" w:sz="0" w:space="0" w:color="auto"/>
          </w:divBdr>
        </w:div>
        <w:div w:id="1434863068">
          <w:marLeft w:val="0"/>
          <w:marRight w:val="0"/>
          <w:marTop w:val="0"/>
          <w:marBottom w:val="0"/>
          <w:divBdr>
            <w:top w:val="none" w:sz="0" w:space="0" w:color="auto"/>
            <w:left w:val="none" w:sz="0" w:space="0" w:color="auto"/>
            <w:bottom w:val="none" w:sz="0" w:space="0" w:color="auto"/>
            <w:right w:val="none" w:sz="0" w:space="0" w:color="auto"/>
          </w:divBdr>
        </w:div>
        <w:div w:id="720329334">
          <w:marLeft w:val="0"/>
          <w:marRight w:val="0"/>
          <w:marTop w:val="0"/>
          <w:marBottom w:val="0"/>
          <w:divBdr>
            <w:top w:val="none" w:sz="0" w:space="0" w:color="auto"/>
            <w:left w:val="none" w:sz="0" w:space="0" w:color="auto"/>
            <w:bottom w:val="none" w:sz="0" w:space="0" w:color="auto"/>
            <w:right w:val="none" w:sz="0" w:space="0" w:color="auto"/>
          </w:divBdr>
        </w:div>
      </w:divsChild>
    </w:div>
    <w:div w:id="137655149">
      <w:bodyDiv w:val="1"/>
      <w:marLeft w:val="0"/>
      <w:marRight w:val="0"/>
      <w:marTop w:val="0"/>
      <w:marBottom w:val="0"/>
      <w:divBdr>
        <w:top w:val="none" w:sz="0" w:space="0" w:color="auto"/>
        <w:left w:val="none" w:sz="0" w:space="0" w:color="auto"/>
        <w:bottom w:val="none" w:sz="0" w:space="0" w:color="auto"/>
        <w:right w:val="none" w:sz="0" w:space="0" w:color="auto"/>
      </w:divBdr>
    </w:div>
    <w:div w:id="140923085">
      <w:bodyDiv w:val="1"/>
      <w:marLeft w:val="0"/>
      <w:marRight w:val="0"/>
      <w:marTop w:val="0"/>
      <w:marBottom w:val="0"/>
      <w:divBdr>
        <w:top w:val="none" w:sz="0" w:space="0" w:color="auto"/>
        <w:left w:val="none" w:sz="0" w:space="0" w:color="auto"/>
        <w:bottom w:val="none" w:sz="0" w:space="0" w:color="auto"/>
        <w:right w:val="none" w:sz="0" w:space="0" w:color="auto"/>
      </w:divBdr>
      <w:divsChild>
        <w:div w:id="81999613">
          <w:marLeft w:val="0"/>
          <w:marRight w:val="0"/>
          <w:marTop w:val="0"/>
          <w:marBottom w:val="0"/>
          <w:divBdr>
            <w:top w:val="none" w:sz="0" w:space="0" w:color="auto"/>
            <w:left w:val="none" w:sz="0" w:space="0" w:color="auto"/>
            <w:bottom w:val="none" w:sz="0" w:space="0" w:color="auto"/>
            <w:right w:val="none" w:sz="0" w:space="0" w:color="auto"/>
          </w:divBdr>
        </w:div>
        <w:div w:id="220867576">
          <w:marLeft w:val="0"/>
          <w:marRight w:val="0"/>
          <w:marTop w:val="0"/>
          <w:marBottom w:val="0"/>
          <w:divBdr>
            <w:top w:val="none" w:sz="0" w:space="0" w:color="auto"/>
            <w:left w:val="none" w:sz="0" w:space="0" w:color="auto"/>
            <w:bottom w:val="none" w:sz="0" w:space="0" w:color="auto"/>
            <w:right w:val="none" w:sz="0" w:space="0" w:color="auto"/>
          </w:divBdr>
        </w:div>
        <w:div w:id="1823040791">
          <w:marLeft w:val="0"/>
          <w:marRight w:val="0"/>
          <w:marTop w:val="0"/>
          <w:marBottom w:val="0"/>
          <w:divBdr>
            <w:top w:val="none" w:sz="0" w:space="0" w:color="auto"/>
            <w:left w:val="none" w:sz="0" w:space="0" w:color="auto"/>
            <w:bottom w:val="none" w:sz="0" w:space="0" w:color="auto"/>
            <w:right w:val="none" w:sz="0" w:space="0" w:color="auto"/>
          </w:divBdr>
        </w:div>
        <w:div w:id="1162546480">
          <w:marLeft w:val="0"/>
          <w:marRight w:val="0"/>
          <w:marTop w:val="0"/>
          <w:marBottom w:val="0"/>
          <w:divBdr>
            <w:top w:val="none" w:sz="0" w:space="0" w:color="auto"/>
            <w:left w:val="none" w:sz="0" w:space="0" w:color="auto"/>
            <w:bottom w:val="none" w:sz="0" w:space="0" w:color="auto"/>
            <w:right w:val="none" w:sz="0" w:space="0" w:color="auto"/>
          </w:divBdr>
        </w:div>
        <w:div w:id="1961759059">
          <w:marLeft w:val="0"/>
          <w:marRight w:val="0"/>
          <w:marTop w:val="0"/>
          <w:marBottom w:val="0"/>
          <w:divBdr>
            <w:top w:val="none" w:sz="0" w:space="0" w:color="auto"/>
            <w:left w:val="none" w:sz="0" w:space="0" w:color="auto"/>
            <w:bottom w:val="none" w:sz="0" w:space="0" w:color="auto"/>
            <w:right w:val="none" w:sz="0" w:space="0" w:color="auto"/>
          </w:divBdr>
        </w:div>
        <w:div w:id="663511849">
          <w:marLeft w:val="0"/>
          <w:marRight w:val="0"/>
          <w:marTop w:val="0"/>
          <w:marBottom w:val="0"/>
          <w:divBdr>
            <w:top w:val="none" w:sz="0" w:space="0" w:color="auto"/>
            <w:left w:val="none" w:sz="0" w:space="0" w:color="auto"/>
            <w:bottom w:val="none" w:sz="0" w:space="0" w:color="auto"/>
            <w:right w:val="none" w:sz="0" w:space="0" w:color="auto"/>
          </w:divBdr>
        </w:div>
        <w:div w:id="1382485266">
          <w:marLeft w:val="0"/>
          <w:marRight w:val="0"/>
          <w:marTop w:val="0"/>
          <w:marBottom w:val="0"/>
          <w:divBdr>
            <w:top w:val="none" w:sz="0" w:space="0" w:color="auto"/>
            <w:left w:val="none" w:sz="0" w:space="0" w:color="auto"/>
            <w:bottom w:val="none" w:sz="0" w:space="0" w:color="auto"/>
            <w:right w:val="none" w:sz="0" w:space="0" w:color="auto"/>
          </w:divBdr>
        </w:div>
        <w:div w:id="2126194436">
          <w:marLeft w:val="0"/>
          <w:marRight w:val="0"/>
          <w:marTop w:val="0"/>
          <w:marBottom w:val="0"/>
          <w:divBdr>
            <w:top w:val="none" w:sz="0" w:space="0" w:color="auto"/>
            <w:left w:val="none" w:sz="0" w:space="0" w:color="auto"/>
            <w:bottom w:val="none" w:sz="0" w:space="0" w:color="auto"/>
            <w:right w:val="none" w:sz="0" w:space="0" w:color="auto"/>
          </w:divBdr>
        </w:div>
        <w:div w:id="1560169108">
          <w:marLeft w:val="0"/>
          <w:marRight w:val="0"/>
          <w:marTop w:val="0"/>
          <w:marBottom w:val="0"/>
          <w:divBdr>
            <w:top w:val="none" w:sz="0" w:space="0" w:color="auto"/>
            <w:left w:val="none" w:sz="0" w:space="0" w:color="auto"/>
            <w:bottom w:val="none" w:sz="0" w:space="0" w:color="auto"/>
            <w:right w:val="none" w:sz="0" w:space="0" w:color="auto"/>
          </w:divBdr>
        </w:div>
        <w:div w:id="796727589">
          <w:marLeft w:val="0"/>
          <w:marRight w:val="0"/>
          <w:marTop w:val="0"/>
          <w:marBottom w:val="0"/>
          <w:divBdr>
            <w:top w:val="none" w:sz="0" w:space="0" w:color="auto"/>
            <w:left w:val="none" w:sz="0" w:space="0" w:color="auto"/>
            <w:bottom w:val="none" w:sz="0" w:space="0" w:color="auto"/>
            <w:right w:val="none" w:sz="0" w:space="0" w:color="auto"/>
          </w:divBdr>
        </w:div>
        <w:div w:id="951206351">
          <w:marLeft w:val="0"/>
          <w:marRight w:val="0"/>
          <w:marTop w:val="0"/>
          <w:marBottom w:val="0"/>
          <w:divBdr>
            <w:top w:val="none" w:sz="0" w:space="0" w:color="auto"/>
            <w:left w:val="none" w:sz="0" w:space="0" w:color="auto"/>
            <w:bottom w:val="none" w:sz="0" w:space="0" w:color="auto"/>
            <w:right w:val="none" w:sz="0" w:space="0" w:color="auto"/>
          </w:divBdr>
        </w:div>
        <w:div w:id="1279534125">
          <w:marLeft w:val="0"/>
          <w:marRight w:val="0"/>
          <w:marTop w:val="0"/>
          <w:marBottom w:val="0"/>
          <w:divBdr>
            <w:top w:val="none" w:sz="0" w:space="0" w:color="auto"/>
            <w:left w:val="none" w:sz="0" w:space="0" w:color="auto"/>
            <w:bottom w:val="none" w:sz="0" w:space="0" w:color="auto"/>
            <w:right w:val="none" w:sz="0" w:space="0" w:color="auto"/>
          </w:divBdr>
        </w:div>
        <w:div w:id="1461143280">
          <w:marLeft w:val="0"/>
          <w:marRight w:val="0"/>
          <w:marTop w:val="0"/>
          <w:marBottom w:val="0"/>
          <w:divBdr>
            <w:top w:val="none" w:sz="0" w:space="0" w:color="auto"/>
            <w:left w:val="none" w:sz="0" w:space="0" w:color="auto"/>
            <w:bottom w:val="none" w:sz="0" w:space="0" w:color="auto"/>
            <w:right w:val="none" w:sz="0" w:space="0" w:color="auto"/>
          </w:divBdr>
        </w:div>
        <w:div w:id="260450632">
          <w:marLeft w:val="0"/>
          <w:marRight w:val="0"/>
          <w:marTop w:val="0"/>
          <w:marBottom w:val="0"/>
          <w:divBdr>
            <w:top w:val="none" w:sz="0" w:space="0" w:color="auto"/>
            <w:left w:val="none" w:sz="0" w:space="0" w:color="auto"/>
            <w:bottom w:val="none" w:sz="0" w:space="0" w:color="auto"/>
            <w:right w:val="none" w:sz="0" w:space="0" w:color="auto"/>
          </w:divBdr>
        </w:div>
        <w:div w:id="1404835636">
          <w:marLeft w:val="0"/>
          <w:marRight w:val="0"/>
          <w:marTop w:val="0"/>
          <w:marBottom w:val="0"/>
          <w:divBdr>
            <w:top w:val="none" w:sz="0" w:space="0" w:color="auto"/>
            <w:left w:val="none" w:sz="0" w:space="0" w:color="auto"/>
            <w:bottom w:val="none" w:sz="0" w:space="0" w:color="auto"/>
            <w:right w:val="none" w:sz="0" w:space="0" w:color="auto"/>
          </w:divBdr>
        </w:div>
        <w:div w:id="814184352">
          <w:marLeft w:val="0"/>
          <w:marRight w:val="0"/>
          <w:marTop w:val="0"/>
          <w:marBottom w:val="0"/>
          <w:divBdr>
            <w:top w:val="none" w:sz="0" w:space="0" w:color="auto"/>
            <w:left w:val="none" w:sz="0" w:space="0" w:color="auto"/>
            <w:bottom w:val="none" w:sz="0" w:space="0" w:color="auto"/>
            <w:right w:val="none" w:sz="0" w:space="0" w:color="auto"/>
          </w:divBdr>
        </w:div>
        <w:div w:id="1516728945">
          <w:marLeft w:val="0"/>
          <w:marRight w:val="0"/>
          <w:marTop w:val="0"/>
          <w:marBottom w:val="0"/>
          <w:divBdr>
            <w:top w:val="none" w:sz="0" w:space="0" w:color="auto"/>
            <w:left w:val="none" w:sz="0" w:space="0" w:color="auto"/>
            <w:bottom w:val="none" w:sz="0" w:space="0" w:color="auto"/>
            <w:right w:val="none" w:sz="0" w:space="0" w:color="auto"/>
          </w:divBdr>
        </w:div>
      </w:divsChild>
    </w:div>
    <w:div w:id="413867804">
      <w:bodyDiv w:val="1"/>
      <w:marLeft w:val="0"/>
      <w:marRight w:val="0"/>
      <w:marTop w:val="0"/>
      <w:marBottom w:val="0"/>
      <w:divBdr>
        <w:top w:val="none" w:sz="0" w:space="0" w:color="auto"/>
        <w:left w:val="none" w:sz="0" w:space="0" w:color="auto"/>
        <w:bottom w:val="none" w:sz="0" w:space="0" w:color="auto"/>
        <w:right w:val="none" w:sz="0" w:space="0" w:color="auto"/>
      </w:divBdr>
    </w:div>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694042427">
      <w:bodyDiv w:val="1"/>
      <w:marLeft w:val="0"/>
      <w:marRight w:val="0"/>
      <w:marTop w:val="0"/>
      <w:marBottom w:val="0"/>
      <w:divBdr>
        <w:top w:val="none" w:sz="0" w:space="0" w:color="auto"/>
        <w:left w:val="none" w:sz="0" w:space="0" w:color="auto"/>
        <w:bottom w:val="none" w:sz="0" w:space="0" w:color="auto"/>
        <w:right w:val="none" w:sz="0" w:space="0" w:color="auto"/>
      </w:divBdr>
    </w:div>
    <w:div w:id="698313834">
      <w:bodyDiv w:val="1"/>
      <w:marLeft w:val="0"/>
      <w:marRight w:val="0"/>
      <w:marTop w:val="0"/>
      <w:marBottom w:val="0"/>
      <w:divBdr>
        <w:top w:val="none" w:sz="0" w:space="0" w:color="auto"/>
        <w:left w:val="none" w:sz="0" w:space="0" w:color="auto"/>
        <w:bottom w:val="none" w:sz="0" w:space="0" w:color="auto"/>
        <w:right w:val="none" w:sz="0" w:space="0" w:color="auto"/>
      </w:divBdr>
    </w:div>
    <w:div w:id="735979434">
      <w:bodyDiv w:val="1"/>
      <w:marLeft w:val="0"/>
      <w:marRight w:val="0"/>
      <w:marTop w:val="0"/>
      <w:marBottom w:val="0"/>
      <w:divBdr>
        <w:top w:val="none" w:sz="0" w:space="0" w:color="auto"/>
        <w:left w:val="none" w:sz="0" w:space="0" w:color="auto"/>
        <w:bottom w:val="none" w:sz="0" w:space="0" w:color="auto"/>
        <w:right w:val="none" w:sz="0" w:space="0" w:color="auto"/>
      </w:divBdr>
    </w:div>
    <w:div w:id="809127976">
      <w:bodyDiv w:val="1"/>
      <w:marLeft w:val="0"/>
      <w:marRight w:val="0"/>
      <w:marTop w:val="0"/>
      <w:marBottom w:val="0"/>
      <w:divBdr>
        <w:top w:val="none" w:sz="0" w:space="0" w:color="auto"/>
        <w:left w:val="none" w:sz="0" w:space="0" w:color="auto"/>
        <w:bottom w:val="none" w:sz="0" w:space="0" w:color="auto"/>
        <w:right w:val="none" w:sz="0" w:space="0" w:color="auto"/>
      </w:divBdr>
    </w:div>
    <w:div w:id="833566487">
      <w:bodyDiv w:val="1"/>
      <w:marLeft w:val="0"/>
      <w:marRight w:val="0"/>
      <w:marTop w:val="0"/>
      <w:marBottom w:val="0"/>
      <w:divBdr>
        <w:top w:val="none" w:sz="0" w:space="0" w:color="auto"/>
        <w:left w:val="none" w:sz="0" w:space="0" w:color="auto"/>
        <w:bottom w:val="none" w:sz="0" w:space="0" w:color="auto"/>
        <w:right w:val="none" w:sz="0" w:space="0" w:color="auto"/>
      </w:divBdr>
    </w:div>
    <w:div w:id="1034773543">
      <w:bodyDiv w:val="1"/>
      <w:marLeft w:val="0"/>
      <w:marRight w:val="0"/>
      <w:marTop w:val="0"/>
      <w:marBottom w:val="0"/>
      <w:divBdr>
        <w:top w:val="none" w:sz="0" w:space="0" w:color="auto"/>
        <w:left w:val="none" w:sz="0" w:space="0" w:color="auto"/>
        <w:bottom w:val="none" w:sz="0" w:space="0" w:color="auto"/>
        <w:right w:val="none" w:sz="0" w:space="0" w:color="auto"/>
      </w:divBdr>
    </w:div>
    <w:div w:id="1101026284">
      <w:bodyDiv w:val="1"/>
      <w:marLeft w:val="0"/>
      <w:marRight w:val="0"/>
      <w:marTop w:val="0"/>
      <w:marBottom w:val="0"/>
      <w:divBdr>
        <w:top w:val="none" w:sz="0" w:space="0" w:color="auto"/>
        <w:left w:val="none" w:sz="0" w:space="0" w:color="auto"/>
        <w:bottom w:val="none" w:sz="0" w:space="0" w:color="auto"/>
        <w:right w:val="none" w:sz="0" w:space="0" w:color="auto"/>
      </w:divBdr>
    </w:div>
    <w:div w:id="1103190669">
      <w:bodyDiv w:val="1"/>
      <w:marLeft w:val="0"/>
      <w:marRight w:val="0"/>
      <w:marTop w:val="0"/>
      <w:marBottom w:val="0"/>
      <w:divBdr>
        <w:top w:val="none" w:sz="0" w:space="0" w:color="auto"/>
        <w:left w:val="none" w:sz="0" w:space="0" w:color="auto"/>
        <w:bottom w:val="none" w:sz="0" w:space="0" w:color="auto"/>
        <w:right w:val="none" w:sz="0" w:space="0" w:color="auto"/>
      </w:divBdr>
    </w:div>
    <w:div w:id="1106728181">
      <w:bodyDiv w:val="1"/>
      <w:marLeft w:val="0"/>
      <w:marRight w:val="0"/>
      <w:marTop w:val="0"/>
      <w:marBottom w:val="0"/>
      <w:divBdr>
        <w:top w:val="none" w:sz="0" w:space="0" w:color="auto"/>
        <w:left w:val="none" w:sz="0" w:space="0" w:color="auto"/>
        <w:bottom w:val="none" w:sz="0" w:space="0" w:color="auto"/>
        <w:right w:val="none" w:sz="0" w:space="0" w:color="auto"/>
      </w:divBdr>
    </w:div>
    <w:div w:id="1108429772">
      <w:bodyDiv w:val="1"/>
      <w:marLeft w:val="0"/>
      <w:marRight w:val="0"/>
      <w:marTop w:val="0"/>
      <w:marBottom w:val="0"/>
      <w:divBdr>
        <w:top w:val="none" w:sz="0" w:space="0" w:color="auto"/>
        <w:left w:val="none" w:sz="0" w:space="0" w:color="auto"/>
        <w:bottom w:val="none" w:sz="0" w:space="0" w:color="auto"/>
        <w:right w:val="none" w:sz="0" w:space="0" w:color="auto"/>
      </w:divBdr>
    </w:div>
    <w:div w:id="1116488559">
      <w:bodyDiv w:val="1"/>
      <w:marLeft w:val="0"/>
      <w:marRight w:val="0"/>
      <w:marTop w:val="0"/>
      <w:marBottom w:val="0"/>
      <w:divBdr>
        <w:top w:val="none" w:sz="0" w:space="0" w:color="auto"/>
        <w:left w:val="none" w:sz="0" w:space="0" w:color="auto"/>
        <w:bottom w:val="none" w:sz="0" w:space="0" w:color="auto"/>
        <w:right w:val="none" w:sz="0" w:space="0" w:color="auto"/>
      </w:divBdr>
    </w:div>
    <w:div w:id="1127889518">
      <w:bodyDiv w:val="1"/>
      <w:marLeft w:val="0"/>
      <w:marRight w:val="0"/>
      <w:marTop w:val="0"/>
      <w:marBottom w:val="0"/>
      <w:divBdr>
        <w:top w:val="none" w:sz="0" w:space="0" w:color="auto"/>
        <w:left w:val="none" w:sz="0" w:space="0" w:color="auto"/>
        <w:bottom w:val="none" w:sz="0" w:space="0" w:color="auto"/>
        <w:right w:val="none" w:sz="0" w:space="0" w:color="auto"/>
      </w:divBdr>
    </w:div>
    <w:div w:id="1150487522">
      <w:bodyDiv w:val="1"/>
      <w:marLeft w:val="0"/>
      <w:marRight w:val="0"/>
      <w:marTop w:val="0"/>
      <w:marBottom w:val="0"/>
      <w:divBdr>
        <w:top w:val="none" w:sz="0" w:space="0" w:color="auto"/>
        <w:left w:val="none" w:sz="0" w:space="0" w:color="auto"/>
        <w:bottom w:val="none" w:sz="0" w:space="0" w:color="auto"/>
        <w:right w:val="none" w:sz="0" w:space="0" w:color="auto"/>
      </w:divBdr>
      <w:divsChild>
        <w:div w:id="711805060">
          <w:marLeft w:val="0"/>
          <w:marRight w:val="0"/>
          <w:marTop w:val="0"/>
          <w:marBottom w:val="0"/>
          <w:divBdr>
            <w:top w:val="none" w:sz="0" w:space="0" w:color="auto"/>
            <w:left w:val="none" w:sz="0" w:space="0" w:color="auto"/>
            <w:bottom w:val="none" w:sz="0" w:space="0" w:color="auto"/>
            <w:right w:val="none" w:sz="0" w:space="0" w:color="auto"/>
          </w:divBdr>
        </w:div>
        <w:div w:id="2070495981">
          <w:marLeft w:val="0"/>
          <w:marRight w:val="0"/>
          <w:marTop w:val="0"/>
          <w:marBottom w:val="0"/>
          <w:divBdr>
            <w:top w:val="none" w:sz="0" w:space="0" w:color="auto"/>
            <w:left w:val="none" w:sz="0" w:space="0" w:color="auto"/>
            <w:bottom w:val="none" w:sz="0" w:space="0" w:color="auto"/>
            <w:right w:val="none" w:sz="0" w:space="0" w:color="auto"/>
          </w:divBdr>
        </w:div>
        <w:div w:id="657734012">
          <w:marLeft w:val="0"/>
          <w:marRight w:val="0"/>
          <w:marTop w:val="0"/>
          <w:marBottom w:val="0"/>
          <w:divBdr>
            <w:top w:val="none" w:sz="0" w:space="0" w:color="auto"/>
            <w:left w:val="none" w:sz="0" w:space="0" w:color="auto"/>
            <w:bottom w:val="none" w:sz="0" w:space="0" w:color="auto"/>
            <w:right w:val="none" w:sz="0" w:space="0" w:color="auto"/>
          </w:divBdr>
        </w:div>
        <w:div w:id="1475827079">
          <w:marLeft w:val="0"/>
          <w:marRight w:val="0"/>
          <w:marTop w:val="0"/>
          <w:marBottom w:val="0"/>
          <w:divBdr>
            <w:top w:val="none" w:sz="0" w:space="0" w:color="auto"/>
            <w:left w:val="none" w:sz="0" w:space="0" w:color="auto"/>
            <w:bottom w:val="none" w:sz="0" w:space="0" w:color="auto"/>
            <w:right w:val="none" w:sz="0" w:space="0" w:color="auto"/>
          </w:divBdr>
        </w:div>
        <w:div w:id="866875332">
          <w:marLeft w:val="0"/>
          <w:marRight w:val="0"/>
          <w:marTop w:val="0"/>
          <w:marBottom w:val="0"/>
          <w:divBdr>
            <w:top w:val="none" w:sz="0" w:space="0" w:color="auto"/>
            <w:left w:val="none" w:sz="0" w:space="0" w:color="auto"/>
            <w:bottom w:val="none" w:sz="0" w:space="0" w:color="auto"/>
            <w:right w:val="none" w:sz="0" w:space="0" w:color="auto"/>
          </w:divBdr>
        </w:div>
      </w:divsChild>
    </w:div>
    <w:div w:id="1158615993">
      <w:bodyDiv w:val="1"/>
      <w:marLeft w:val="0"/>
      <w:marRight w:val="0"/>
      <w:marTop w:val="0"/>
      <w:marBottom w:val="0"/>
      <w:divBdr>
        <w:top w:val="none" w:sz="0" w:space="0" w:color="auto"/>
        <w:left w:val="none" w:sz="0" w:space="0" w:color="auto"/>
        <w:bottom w:val="none" w:sz="0" w:space="0" w:color="auto"/>
        <w:right w:val="none" w:sz="0" w:space="0" w:color="auto"/>
      </w:divBdr>
    </w:div>
    <w:div w:id="1196311892">
      <w:bodyDiv w:val="1"/>
      <w:marLeft w:val="0"/>
      <w:marRight w:val="0"/>
      <w:marTop w:val="0"/>
      <w:marBottom w:val="0"/>
      <w:divBdr>
        <w:top w:val="none" w:sz="0" w:space="0" w:color="auto"/>
        <w:left w:val="none" w:sz="0" w:space="0" w:color="auto"/>
        <w:bottom w:val="none" w:sz="0" w:space="0" w:color="auto"/>
        <w:right w:val="none" w:sz="0" w:space="0" w:color="auto"/>
      </w:divBdr>
      <w:divsChild>
        <w:div w:id="1838956554">
          <w:marLeft w:val="0"/>
          <w:marRight w:val="0"/>
          <w:marTop w:val="0"/>
          <w:marBottom w:val="0"/>
          <w:divBdr>
            <w:top w:val="none" w:sz="0" w:space="0" w:color="auto"/>
            <w:left w:val="none" w:sz="0" w:space="0" w:color="auto"/>
            <w:bottom w:val="none" w:sz="0" w:space="0" w:color="auto"/>
            <w:right w:val="none" w:sz="0" w:space="0" w:color="auto"/>
          </w:divBdr>
        </w:div>
        <w:div w:id="1282956162">
          <w:marLeft w:val="0"/>
          <w:marRight w:val="0"/>
          <w:marTop w:val="0"/>
          <w:marBottom w:val="0"/>
          <w:divBdr>
            <w:top w:val="none" w:sz="0" w:space="0" w:color="auto"/>
            <w:left w:val="none" w:sz="0" w:space="0" w:color="auto"/>
            <w:bottom w:val="none" w:sz="0" w:space="0" w:color="auto"/>
            <w:right w:val="none" w:sz="0" w:space="0" w:color="auto"/>
          </w:divBdr>
        </w:div>
        <w:div w:id="735665605">
          <w:marLeft w:val="0"/>
          <w:marRight w:val="0"/>
          <w:marTop w:val="0"/>
          <w:marBottom w:val="0"/>
          <w:divBdr>
            <w:top w:val="none" w:sz="0" w:space="0" w:color="auto"/>
            <w:left w:val="none" w:sz="0" w:space="0" w:color="auto"/>
            <w:bottom w:val="none" w:sz="0" w:space="0" w:color="auto"/>
            <w:right w:val="none" w:sz="0" w:space="0" w:color="auto"/>
          </w:divBdr>
        </w:div>
        <w:div w:id="1996567468">
          <w:marLeft w:val="0"/>
          <w:marRight w:val="0"/>
          <w:marTop w:val="0"/>
          <w:marBottom w:val="0"/>
          <w:divBdr>
            <w:top w:val="none" w:sz="0" w:space="0" w:color="auto"/>
            <w:left w:val="none" w:sz="0" w:space="0" w:color="auto"/>
            <w:bottom w:val="none" w:sz="0" w:space="0" w:color="auto"/>
            <w:right w:val="none" w:sz="0" w:space="0" w:color="auto"/>
          </w:divBdr>
        </w:div>
        <w:div w:id="1844391362">
          <w:marLeft w:val="0"/>
          <w:marRight w:val="0"/>
          <w:marTop w:val="0"/>
          <w:marBottom w:val="0"/>
          <w:divBdr>
            <w:top w:val="none" w:sz="0" w:space="0" w:color="auto"/>
            <w:left w:val="none" w:sz="0" w:space="0" w:color="auto"/>
            <w:bottom w:val="none" w:sz="0" w:space="0" w:color="auto"/>
            <w:right w:val="none" w:sz="0" w:space="0" w:color="auto"/>
          </w:divBdr>
        </w:div>
        <w:div w:id="76023293">
          <w:marLeft w:val="0"/>
          <w:marRight w:val="0"/>
          <w:marTop w:val="0"/>
          <w:marBottom w:val="0"/>
          <w:divBdr>
            <w:top w:val="none" w:sz="0" w:space="0" w:color="auto"/>
            <w:left w:val="none" w:sz="0" w:space="0" w:color="auto"/>
            <w:bottom w:val="none" w:sz="0" w:space="0" w:color="auto"/>
            <w:right w:val="none" w:sz="0" w:space="0" w:color="auto"/>
          </w:divBdr>
        </w:div>
        <w:div w:id="1202595602">
          <w:marLeft w:val="0"/>
          <w:marRight w:val="0"/>
          <w:marTop w:val="0"/>
          <w:marBottom w:val="0"/>
          <w:divBdr>
            <w:top w:val="none" w:sz="0" w:space="0" w:color="auto"/>
            <w:left w:val="none" w:sz="0" w:space="0" w:color="auto"/>
            <w:bottom w:val="none" w:sz="0" w:space="0" w:color="auto"/>
            <w:right w:val="none" w:sz="0" w:space="0" w:color="auto"/>
          </w:divBdr>
        </w:div>
        <w:div w:id="1727602982">
          <w:marLeft w:val="0"/>
          <w:marRight w:val="0"/>
          <w:marTop w:val="0"/>
          <w:marBottom w:val="0"/>
          <w:divBdr>
            <w:top w:val="none" w:sz="0" w:space="0" w:color="auto"/>
            <w:left w:val="none" w:sz="0" w:space="0" w:color="auto"/>
            <w:bottom w:val="none" w:sz="0" w:space="0" w:color="auto"/>
            <w:right w:val="none" w:sz="0" w:space="0" w:color="auto"/>
          </w:divBdr>
        </w:div>
        <w:div w:id="961230546">
          <w:marLeft w:val="0"/>
          <w:marRight w:val="0"/>
          <w:marTop w:val="0"/>
          <w:marBottom w:val="0"/>
          <w:divBdr>
            <w:top w:val="none" w:sz="0" w:space="0" w:color="auto"/>
            <w:left w:val="none" w:sz="0" w:space="0" w:color="auto"/>
            <w:bottom w:val="none" w:sz="0" w:space="0" w:color="auto"/>
            <w:right w:val="none" w:sz="0" w:space="0" w:color="auto"/>
          </w:divBdr>
        </w:div>
        <w:div w:id="966007809">
          <w:marLeft w:val="0"/>
          <w:marRight w:val="0"/>
          <w:marTop w:val="0"/>
          <w:marBottom w:val="0"/>
          <w:divBdr>
            <w:top w:val="none" w:sz="0" w:space="0" w:color="auto"/>
            <w:left w:val="none" w:sz="0" w:space="0" w:color="auto"/>
            <w:bottom w:val="none" w:sz="0" w:space="0" w:color="auto"/>
            <w:right w:val="none" w:sz="0" w:space="0" w:color="auto"/>
          </w:divBdr>
        </w:div>
        <w:div w:id="1919633475">
          <w:marLeft w:val="0"/>
          <w:marRight w:val="0"/>
          <w:marTop w:val="0"/>
          <w:marBottom w:val="0"/>
          <w:divBdr>
            <w:top w:val="none" w:sz="0" w:space="0" w:color="auto"/>
            <w:left w:val="none" w:sz="0" w:space="0" w:color="auto"/>
            <w:bottom w:val="none" w:sz="0" w:space="0" w:color="auto"/>
            <w:right w:val="none" w:sz="0" w:space="0" w:color="auto"/>
          </w:divBdr>
        </w:div>
        <w:div w:id="1129856221">
          <w:marLeft w:val="0"/>
          <w:marRight w:val="0"/>
          <w:marTop w:val="0"/>
          <w:marBottom w:val="0"/>
          <w:divBdr>
            <w:top w:val="none" w:sz="0" w:space="0" w:color="auto"/>
            <w:left w:val="none" w:sz="0" w:space="0" w:color="auto"/>
            <w:bottom w:val="none" w:sz="0" w:space="0" w:color="auto"/>
            <w:right w:val="none" w:sz="0" w:space="0" w:color="auto"/>
          </w:divBdr>
        </w:div>
        <w:div w:id="195774981">
          <w:marLeft w:val="0"/>
          <w:marRight w:val="0"/>
          <w:marTop w:val="0"/>
          <w:marBottom w:val="0"/>
          <w:divBdr>
            <w:top w:val="none" w:sz="0" w:space="0" w:color="auto"/>
            <w:left w:val="none" w:sz="0" w:space="0" w:color="auto"/>
            <w:bottom w:val="none" w:sz="0" w:space="0" w:color="auto"/>
            <w:right w:val="none" w:sz="0" w:space="0" w:color="auto"/>
          </w:divBdr>
        </w:div>
        <w:div w:id="1221592358">
          <w:marLeft w:val="0"/>
          <w:marRight w:val="0"/>
          <w:marTop w:val="0"/>
          <w:marBottom w:val="0"/>
          <w:divBdr>
            <w:top w:val="none" w:sz="0" w:space="0" w:color="auto"/>
            <w:left w:val="none" w:sz="0" w:space="0" w:color="auto"/>
            <w:bottom w:val="none" w:sz="0" w:space="0" w:color="auto"/>
            <w:right w:val="none" w:sz="0" w:space="0" w:color="auto"/>
          </w:divBdr>
        </w:div>
        <w:div w:id="182522988">
          <w:marLeft w:val="0"/>
          <w:marRight w:val="0"/>
          <w:marTop w:val="0"/>
          <w:marBottom w:val="0"/>
          <w:divBdr>
            <w:top w:val="none" w:sz="0" w:space="0" w:color="auto"/>
            <w:left w:val="none" w:sz="0" w:space="0" w:color="auto"/>
            <w:bottom w:val="none" w:sz="0" w:space="0" w:color="auto"/>
            <w:right w:val="none" w:sz="0" w:space="0" w:color="auto"/>
          </w:divBdr>
        </w:div>
        <w:div w:id="127012350">
          <w:marLeft w:val="0"/>
          <w:marRight w:val="0"/>
          <w:marTop w:val="0"/>
          <w:marBottom w:val="0"/>
          <w:divBdr>
            <w:top w:val="none" w:sz="0" w:space="0" w:color="auto"/>
            <w:left w:val="none" w:sz="0" w:space="0" w:color="auto"/>
            <w:bottom w:val="none" w:sz="0" w:space="0" w:color="auto"/>
            <w:right w:val="none" w:sz="0" w:space="0" w:color="auto"/>
          </w:divBdr>
        </w:div>
        <w:div w:id="1546869832">
          <w:marLeft w:val="0"/>
          <w:marRight w:val="0"/>
          <w:marTop w:val="0"/>
          <w:marBottom w:val="0"/>
          <w:divBdr>
            <w:top w:val="none" w:sz="0" w:space="0" w:color="auto"/>
            <w:left w:val="none" w:sz="0" w:space="0" w:color="auto"/>
            <w:bottom w:val="none" w:sz="0" w:space="0" w:color="auto"/>
            <w:right w:val="none" w:sz="0" w:space="0" w:color="auto"/>
          </w:divBdr>
        </w:div>
      </w:divsChild>
    </w:div>
    <w:div w:id="1252472985">
      <w:bodyDiv w:val="1"/>
      <w:marLeft w:val="0"/>
      <w:marRight w:val="0"/>
      <w:marTop w:val="0"/>
      <w:marBottom w:val="0"/>
      <w:divBdr>
        <w:top w:val="none" w:sz="0" w:space="0" w:color="auto"/>
        <w:left w:val="none" w:sz="0" w:space="0" w:color="auto"/>
        <w:bottom w:val="none" w:sz="0" w:space="0" w:color="auto"/>
        <w:right w:val="none" w:sz="0" w:space="0" w:color="auto"/>
      </w:divBdr>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1388726893">
      <w:bodyDiv w:val="1"/>
      <w:marLeft w:val="0"/>
      <w:marRight w:val="0"/>
      <w:marTop w:val="0"/>
      <w:marBottom w:val="0"/>
      <w:divBdr>
        <w:top w:val="none" w:sz="0" w:space="0" w:color="auto"/>
        <w:left w:val="none" w:sz="0" w:space="0" w:color="auto"/>
        <w:bottom w:val="none" w:sz="0" w:space="0" w:color="auto"/>
        <w:right w:val="none" w:sz="0" w:space="0" w:color="auto"/>
      </w:divBdr>
    </w:div>
    <w:div w:id="1442603520">
      <w:bodyDiv w:val="1"/>
      <w:marLeft w:val="0"/>
      <w:marRight w:val="0"/>
      <w:marTop w:val="0"/>
      <w:marBottom w:val="0"/>
      <w:divBdr>
        <w:top w:val="none" w:sz="0" w:space="0" w:color="auto"/>
        <w:left w:val="none" w:sz="0" w:space="0" w:color="auto"/>
        <w:bottom w:val="none" w:sz="0" w:space="0" w:color="auto"/>
        <w:right w:val="none" w:sz="0" w:space="0" w:color="auto"/>
      </w:divBdr>
    </w:div>
    <w:div w:id="1448699883">
      <w:bodyDiv w:val="1"/>
      <w:marLeft w:val="0"/>
      <w:marRight w:val="0"/>
      <w:marTop w:val="0"/>
      <w:marBottom w:val="0"/>
      <w:divBdr>
        <w:top w:val="none" w:sz="0" w:space="0" w:color="auto"/>
        <w:left w:val="none" w:sz="0" w:space="0" w:color="auto"/>
        <w:bottom w:val="none" w:sz="0" w:space="0" w:color="auto"/>
        <w:right w:val="none" w:sz="0" w:space="0" w:color="auto"/>
      </w:divBdr>
    </w:div>
    <w:div w:id="1483815156">
      <w:bodyDiv w:val="1"/>
      <w:marLeft w:val="0"/>
      <w:marRight w:val="0"/>
      <w:marTop w:val="0"/>
      <w:marBottom w:val="0"/>
      <w:divBdr>
        <w:top w:val="none" w:sz="0" w:space="0" w:color="auto"/>
        <w:left w:val="none" w:sz="0" w:space="0" w:color="auto"/>
        <w:bottom w:val="none" w:sz="0" w:space="0" w:color="auto"/>
        <w:right w:val="none" w:sz="0" w:space="0" w:color="auto"/>
      </w:divBdr>
    </w:div>
    <w:div w:id="1510951685">
      <w:bodyDiv w:val="1"/>
      <w:marLeft w:val="0"/>
      <w:marRight w:val="0"/>
      <w:marTop w:val="0"/>
      <w:marBottom w:val="0"/>
      <w:divBdr>
        <w:top w:val="none" w:sz="0" w:space="0" w:color="auto"/>
        <w:left w:val="none" w:sz="0" w:space="0" w:color="auto"/>
        <w:bottom w:val="none" w:sz="0" w:space="0" w:color="auto"/>
        <w:right w:val="none" w:sz="0" w:space="0" w:color="auto"/>
      </w:divBdr>
    </w:div>
    <w:div w:id="1529903346">
      <w:bodyDiv w:val="1"/>
      <w:marLeft w:val="0"/>
      <w:marRight w:val="0"/>
      <w:marTop w:val="0"/>
      <w:marBottom w:val="0"/>
      <w:divBdr>
        <w:top w:val="none" w:sz="0" w:space="0" w:color="auto"/>
        <w:left w:val="none" w:sz="0" w:space="0" w:color="auto"/>
        <w:bottom w:val="none" w:sz="0" w:space="0" w:color="auto"/>
        <w:right w:val="none" w:sz="0" w:space="0" w:color="auto"/>
      </w:divBdr>
    </w:div>
    <w:div w:id="1949461137">
      <w:bodyDiv w:val="1"/>
      <w:marLeft w:val="0"/>
      <w:marRight w:val="0"/>
      <w:marTop w:val="0"/>
      <w:marBottom w:val="0"/>
      <w:divBdr>
        <w:top w:val="none" w:sz="0" w:space="0" w:color="auto"/>
        <w:left w:val="none" w:sz="0" w:space="0" w:color="auto"/>
        <w:bottom w:val="none" w:sz="0" w:space="0" w:color="auto"/>
        <w:right w:val="none" w:sz="0" w:space="0" w:color="auto"/>
      </w:divBdr>
    </w:div>
    <w:div w:id="1983464409">
      <w:bodyDiv w:val="1"/>
      <w:marLeft w:val="0"/>
      <w:marRight w:val="0"/>
      <w:marTop w:val="0"/>
      <w:marBottom w:val="0"/>
      <w:divBdr>
        <w:top w:val="none" w:sz="0" w:space="0" w:color="auto"/>
        <w:left w:val="none" w:sz="0" w:space="0" w:color="auto"/>
        <w:bottom w:val="none" w:sz="0" w:space="0" w:color="auto"/>
        <w:right w:val="none" w:sz="0" w:space="0" w:color="auto"/>
      </w:divBdr>
    </w:div>
    <w:div w:id="2057192520">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 w:id="2147357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8cb3cbd-ce5c-4a72-9da4-9013f91c5903">
      <Value>2</Value>
      <Value>56</Value>
      <Value>55</Value>
    </TaxCatchAll>
    <Comments xmlns="http://schemas.microsoft.com/sharepoint/v3" xsi:nil="true"/>
    <_dlc_DocId xmlns="b8cb3cbd-ce5c-4a72-9da4-9013f91c5903">P77SHHUCCQFT-1656113854-17248</_dlc_DocId>
    <_dlc_DocIdUrl xmlns="b8cb3cbd-ce5c-4a72-9da4-9013f91c5903">
      <Url>http://workplaces/sites/ctg/a/_layouts/DocIdRedir.aspx?ID=P77SHHUCCQFT-1656113854-17248</Url>
      <Description>P77SHHUCCQFT-1656113854-17248</Description>
    </_dlc_DocIdUrl>
    <IWPSiteTypeTaxHTField0 xmlns="62bda6d9-15dd-4797-9609-2d5e8913862c">
      <Terms xmlns="http://schemas.microsoft.com/office/infopath/2007/PartnerControls"/>
    </IWPSiteTypeTaxHTField0>
    <IWPRightsProtectiveMarkingTaxHTField0 xmlns="62bda6d9-15dd-4797-9609-2d5e8913862c">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IWPRightsProtectiveMarkingTaxHTField0>
    <IWPFunctionTaxHTField0 xmlns="62bda6d9-15dd-4797-9609-2d5e8913862c">
      <Terms xmlns="http://schemas.microsoft.com/office/infopath/2007/PartnerControls"/>
    </IWPFunctionTaxHTField0>
    <IWPOwnerTaxHTField0 xmlns="62bda6d9-15dd-4797-9609-2d5e8913862c">
      <Terms xmlns="http://schemas.microsoft.com/office/infopath/2007/PartnerControls">
        <TermInfo xmlns="http://schemas.microsoft.com/office/infopath/2007/PartnerControls">
          <TermName xmlns="http://schemas.microsoft.com/office/infopath/2007/PartnerControls">NCTA</TermName>
          <TermId xmlns="http://schemas.microsoft.com/office/infopath/2007/PartnerControls">8a55f59b-7d94-44dd-a344-986d47acf947</TermId>
        </TermInfo>
      </Terms>
    </IWPOwnerTaxHTField0>
    <IWPOrganisationalUnitTaxHTField0 xmlns="62bda6d9-15dd-4797-9609-2d5e8913862c">
      <Terms xmlns="http://schemas.microsoft.com/office/infopath/2007/PartnerControls">
        <TermInfo xmlns="http://schemas.microsoft.com/office/infopath/2007/PartnerControls">
          <TermName xmlns="http://schemas.microsoft.com/office/infopath/2007/PartnerControls">NCTL</TermName>
          <TermId xmlns="http://schemas.microsoft.com/office/infopath/2007/PartnerControls">50b03fc4-9596-44c0-8ddf-78c55856c7ae</TermId>
        </TermInfo>
      </Terms>
    </IWPOrganisationalUnitTaxHTField0>
    <IWPContributor xmlns="62bda6d9-15dd-4797-9609-2d5e8913862c">
      <UserInfo>
        <DisplayName/>
        <AccountId xsi:nil="true"/>
        <AccountType/>
      </UserInfo>
    </IWPContributor>
    <IWPSubjectTaxHTField0 xmlns="62bda6d9-15dd-4797-9609-2d5e8913862c">
      <Terms xmlns="http://schemas.microsoft.com/office/infopath/2007/PartnerControls"/>
    </IWPSubjectTaxHTField0>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Programme and Project Management" ma:contentTypeID="0x0101007F645D6FBA204A029FECB8BFC6578C39005279853530254253B886E13194843F8A003AA4A7828D8545A79A935680158123500090692E784D5B8245A9BCC793BA2EE1C9" ma:contentTypeVersion="10" ma:contentTypeDescription="For programme or project documents. Records retained for 10 years." ma:contentTypeScope="" ma:versionID="25b390480ba9fc538a6abf1ca94928dc">
  <xsd:schema xmlns:xsd="http://www.w3.org/2001/XMLSchema" xmlns:xs="http://www.w3.org/2001/XMLSchema" xmlns:p="http://schemas.microsoft.com/office/2006/metadata/properties" xmlns:ns1="http://schemas.microsoft.com/sharepoint/v3" xmlns:ns2="b8cb3cbd-ce5c-4a72-9da4-9013f91c5903" xmlns:ns3="62bda6d9-15dd-4797-9609-2d5e8913862c" targetNamespace="http://schemas.microsoft.com/office/2006/metadata/properties" ma:root="true" ma:fieldsID="dacc55a7f74bdc6c1f257a4871db7b1d" ns1:_="" ns2:_="" ns3:_="">
    <xsd:import namespace="http://schemas.microsoft.com/sharepoint/v3"/>
    <xsd:import namespace="b8cb3cbd-ce5c-4a72-9da4-9013f91c5903"/>
    <xsd:import namespace="62bda6d9-15dd-4797-9609-2d5e8913862c"/>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IWPContributor" minOccurs="0"/>
                <xsd:element ref="ns3:IWPFunctionTaxHTField0" minOccurs="0"/>
                <xsd:element ref="ns3:IWPOwnerTaxHTField0" minOccurs="0"/>
                <xsd:element ref="ns3:IWPRightsProtectiveMarkingTaxHTField0" minOccurs="0"/>
                <xsd:element ref="ns3:IWPSubjectTaxHTField0" minOccurs="0"/>
                <xsd:element ref="ns3:IWPSiteTypeTaxHTField0" minOccurs="0"/>
                <xsd:element ref="ns2:TaxCatchAll" minOccurs="0"/>
                <xsd:element ref="ns2:TaxCatchAllLabel" minOccurs="0"/>
                <xsd:element ref="ns3:IWPOrganisationalUnitTaxHTField0"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xsd:simpleType>
        <xsd:restriction base="dms:Note">
          <xsd:maxLength value="255"/>
        </xsd:restriction>
      </xsd:simpleType>
    </xsd:element>
    <xsd:element name="_vti_ItemDeclaredRecord" ma:index="2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cb3cbd-ce5c-4a72-9da4-9013f91c59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description="" ma:hidden="true" ma:list="{e5cca09a-3a7e-4e23-b5a4-ee8d77d3e53d}" ma:internalName="TaxCatchAll" ma:showField="CatchAllData" ma:web="62bda6d9-15dd-4797-9609-2d5e8913862c">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e5cca09a-3a7e-4e23-b5a4-ee8d77d3e53d}" ma:internalName="TaxCatchAllLabel" ma:readOnly="true" ma:showField="CatchAllDataLabel" ma:web="62bda6d9-15dd-4797-9609-2d5e8913862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2bda6d9-15dd-4797-9609-2d5e8913862c" elementFormDefault="qualified">
    <xsd:import namespace="http://schemas.microsoft.com/office/2006/documentManagement/types"/>
    <xsd:import namespace="http://schemas.microsoft.com/office/infopath/2007/PartnerControls"/>
    <xsd:element name="IWPContributor" ma:index="12" nillable="true" ma:displayName="Contributor" ma:hidden="true" ma:list="UserInfo" ma:SharePointGroup="0" ma:internalName="IWPContribu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WPFunctionTaxHTField0" ma:index="13" nillable="true" ma:taxonomy="true" ma:internalName="IWPFunctionTaxHTField0" ma:taxonomyFieldName="IWPFunction" ma:displayName="Function" ma:readOnly="false" ma:fieldId="{15181134-8839-47a9-9a38-d116ffff0106}" ma:taxonomyMulti="true" ma:sspId="fcff89b5-5d6d-4e65-a829-6f4a98dd03af" ma:termSetId="d25a8a8b-cc76-477b-9c8b-292b0e01012c" ma:anchorId="00000000-0000-0000-0000-000000000000" ma:open="false" ma:isKeyword="false">
      <xsd:complexType>
        <xsd:sequence>
          <xsd:element ref="pc:Terms" minOccurs="0" maxOccurs="1"/>
        </xsd:sequence>
      </xsd:complexType>
    </xsd:element>
    <xsd:element name="IWPOwnerTaxHTField0" ma:index="15" ma:taxonomy="true" ma:internalName="IWPOwnerTaxHTField0" ma:taxonomyFieldName="IWPOwner" ma:displayName="Owner" ma:default="1;#DfE|a484111e-5b24-4ad9-9778-c536c8c88985" ma:fieldId="{15181134-8839-47a9-9a38-d116ffff0102}" ma:sspId="fcff89b5-5d6d-4e65-a829-6f4a98dd03af" ma:termSetId="12161dbb-b36f-4439-aef1-21e7cc922807" ma:anchorId="00000000-0000-0000-0000-000000000000" ma:open="false" ma:isKeyword="false">
      <xsd:complexType>
        <xsd:sequence>
          <xsd:element ref="pc:Terms" minOccurs="0" maxOccurs="1"/>
        </xsd:sequence>
      </xsd:complexType>
    </xsd:element>
    <xsd:element name="IWPRightsProtectiveMarkingTaxHTField0" ma:index="17" ma:taxonomy="true" ma:internalName="IWPRightsProtectiveMarkingTaxHTField0" ma:taxonomyFieldName="IWPRightsProtectiveMarking" ma:displayName="Rights: Protective Marking" ma:default="2;#Official|0884c477-2e62-47ea-b19c-5af6e91124c5" ma:fieldId="{15181134-8839-47a9-9a38-d116ffff0005}" ma:sspId="fcff89b5-5d6d-4e65-a829-6f4a98dd03af" ma:termSetId="7870c18b-dc34-46a1-adf5-a571f0cac88b" ma:anchorId="00000000-0000-0000-0000-000000000000" ma:open="false" ma:isKeyword="false">
      <xsd:complexType>
        <xsd:sequence>
          <xsd:element ref="pc:Terms" minOccurs="0" maxOccurs="1"/>
        </xsd:sequence>
      </xsd:complexType>
    </xsd:element>
    <xsd:element name="IWPSubjectTaxHTField0" ma:index="19" nillable="true" ma:taxonomy="true" ma:internalName="IWPSubjectTaxHTField0" ma:taxonomyFieldName="IWPSubject" ma:displayName="Subject" ma:fieldId="{15181134-8839-47a9-9a38-d116ffff0006}" ma:sspId="fcff89b5-5d6d-4e65-a829-6f4a98dd03af" ma:termSetId="33432453-e88c-4baa-94a6-467fc4fc06f9" ma:anchorId="00000000-0000-0000-0000-000000000000" ma:open="false" ma:isKeyword="false">
      <xsd:complexType>
        <xsd:sequence>
          <xsd:element ref="pc:Terms" minOccurs="0" maxOccurs="1"/>
        </xsd:sequence>
      </xsd:complexType>
    </xsd:element>
    <xsd:element name="IWPSiteTypeTaxHTField0" ma:index="21" nillable="true" ma:taxonomy="true" ma:internalName="IWPSiteTypeTaxHTField0" ma:taxonomyFieldName="IWPSiteType" ma:displayName="Site Type" ma:fieldId="{15181134-8839-47a9-9a38-d116ffff0103}" ma:sspId="fcff89b5-5d6d-4e65-a829-6f4a98dd03af" ma:termSetId="68f3bd98-4d9d-4839-831a-d4827606df7e" ma:anchorId="00000000-0000-0000-0000-000000000000" ma:open="false" ma:isKeyword="false">
      <xsd:complexType>
        <xsd:sequence>
          <xsd:element ref="pc:Terms" minOccurs="0" maxOccurs="1"/>
        </xsd:sequence>
      </xsd:complexType>
    </xsd:element>
    <xsd:element name="IWPOrganisationalUnitTaxHTField0" ma:index="25" ma:taxonomy="true" ma:internalName="IWPOrganisationalUnitTaxHTField0" ma:taxonomyFieldName="IWPOrganisationalUnit" ma:displayName="Organisational Unit" ma:default="4;#DfE|cc08a6d4-dfde-4d0f-bd85-069ebcef80d5" ma:fieldId="{15181134-8839-47a9-9a38-d116ffff0201}" ma:sspId="fcff89b5-5d6d-4e65-a829-6f4a98dd03af" ma:termSetId="b3e263f6-0ab6-425a-b3de-0e67f2faf76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fcff89b5-5d6d-4e65-a829-6f4a98dd03af" ContentTypeId="0x0101007F645D6FBA204A029FECB8BFC6578C39005279853530254253B886E13194843F8A003AA4A7828D8545A79A93568015812350" PreviousValue="false"/>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7DCE39-AB92-4048-BD16-472514B227E0}">
  <ds:schemaRefs>
    <ds:schemaRef ds:uri="http://schemas.openxmlformats.org/package/2006/metadata/core-properties"/>
    <ds:schemaRef ds:uri="http://purl.org/dc/terms/"/>
    <ds:schemaRef ds:uri="http://schemas.microsoft.com/office/2006/metadata/properties"/>
    <ds:schemaRef ds:uri="http://schemas.microsoft.com/office/2006/documentManagement/types"/>
    <ds:schemaRef ds:uri="http://schemas.microsoft.com/sharepoint/v3"/>
    <ds:schemaRef ds:uri="http://purl.org/dc/elements/1.1/"/>
    <ds:schemaRef ds:uri="b8cb3cbd-ce5c-4a72-9da4-9013f91c5903"/>
    <ds:schemaRef ds:uri="http://schemas.microsoft.com/office/infopath/2007/PartnerControls"/>
    <ds:schemaRef ds:uri="62bda6d9-15dd-4797-9609-2d5e8913862c"/>
    <ds:schemaRef ds:uri="http://www.w3.org/XML/1998/namespace"/>
    <ds:schemaRef ds:uri="http://purl.org/dc/dcmitype/"/>
  </ds:schemaRefs>
</ds:datastoreItem>
</file>

<file path=customXml/itemProps2.xml><?xml version="1.0" encoding="utf-8"?>
<ds:datastoreItem xmlns:ds="http://schemas.openxmlformats.org/officeDocument/2006/customXml" ds:itemID="{9AE1C07B-F168-43B5-A20D-136631EB39FC}">
  <ds:schemaRefs>
    <ds:schemaRef ds:uri="http://schemas.microsoft.com/office/2006/metadata/longProperties"/>
  </ds:schemaRefs>
</ds:datastoreItem>
</file>

<file path=customXml/itemProps3.xml><?xml version="1.0" encoding="utf-8"?>
<ds:datastoreItem xmlns:ds="http://schemas.openxmlformats.org/officeDocument/2006/customXml" ds:itemID="{8ED004A7-DA13-4287-B433-28DBC68917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cb3cbd-ce5c-4a72-9da4-9013f91c5903"/>
    <ds:schemaRef ds:uri="62bda6d9-15dd-4797-9609-2d5e891386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1A6099D-E266-44AC-A7E8-3C1E7906CA10}">
  <ds:schemaRefs>
    <ds:schemaRef ds:uri="http://schemas.microsoft.com/sharepoint/v3/contenttype/forms"/>
  </ds:schemaRefs>
</ds:datastoreItem>
</file>

<file path=customXml/itemProps5.xml><?xml version="1.0" encoding="utf-8"?>
<ds:datastoreItem xmlns:ds="http://schemas.openxmlformats.org/officeDocument/2006/customXml" ds:itemID="{F698DC76-7C79-4AFF-948F-E6DD10D26A0F}">
  <ds:schemaRefs>
    <ds:schemaRef ds:uri="Microsoft.SharePoint.Taxonomy.ContentTypeSync"/>
  </ds:schemaRefs>
</ds:datastoreItem>
</file>

<file path=customXml/itemProps6.xml><?xml version="1.0" encoding="utf-8"?>
<ds:datastoreItem xmlns:ds="http://schemas.openxmlformats.org/officeDocument/2006/customXml" ds:itemID="{9ED194C2-E8ED-4E08-9972-82678721CC7A}">
  <ds:schemaRefs>
    <ds:schemaRef ds:uri="http://schemas.microsoft.com/sharepoint/events"/>
  </ds:schemaRefs>
</ds:datastoreItem>
</file>

<file path=customXml/itemProps7.xml><?xml version="1.0" encoding="utf-8"?>
<ds:datastoreItem xmlns:ds="http://schemas.openxmlformats.org/officeDocument/2006/customXml" ds:itemID="{56A38630-8783-42D0-A00C-C2617D09A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571</Words>
  <Characters>3255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Department for Education</vt:lpstr>
    </vt:vector>
  </TitlesOfParts>
  <Company>Department for Education</Company>
  <LinksUpToDate>false</LinksUpToDate>
  <CharactersWithSpaces>3819</CharactersWithSpaces>
  <SharedDoc>false</SharedDoc>
  <HLinks>
    <vt:vector size="60" baseType="variant">
      <vt:variant>
        <vt:i4>1638460</vt:i4>
      </vt:variant>
      <vt:variant>
        <vt:i4>59</vt:i4>
      </vt:variant>
      <vt:variant>
        <vt:i4>0</vt:i4>
      </vt:variant>
      <vt:variant>
        <vt:i4>5</vt:i4>
      </vt:variant>
      <vt:variant>
        <vt:lpwstr/>
      </vt:variant>
      <vt:variant>
        <vt:lpwstr>_Toc329874101</vt:lpwstr>
      </vt:variant>
      <vt:variant>
        <vt:i4>1638460</vt:i4>
      </vt:variant>
      <vt:variant>
        <vt:i4>53</vt:i4>
      </vt:variant>
      <vt:variant>
        <vt:i4>0</vt:i4>
      </vt:variant>
      <vt:variant>
        <vt:i4>5</vt:i4>
      </vt:variant>
      <vt:variant>
        <vt:lpwstr/>
      </vt:variant>
      <vt:variant>
        <vt:lpwstr>_Toc329874100</vt:lpwstr>
      </vt:variant>
      <vt:variant>
        <vt:i4>1048637</vt:i4>
      </vt:variant>
      <vt:variant>
        <vt:i4>47</vt:i4>
      </vt:variant>
      <vt:variant>
        <vt:i4>0</vt:i4>
      </vt:variant>
      <vt:variant>
        <vt:i4>5</vt:i4>
      </vt:variant>
      <vt:variant>
        <vt:lpwstr/>
      </vt:variant>
      <vt:variant>
        <vt:lpwstr>_Toc329874099</vt:lpwstr>
      </vt:variant>
      <vt:variant>
        <vt:i4>1769525</vt:i4>
      </vt:variant>
      <vt:variant>
        <vt:i4>38</vt:i4>
      </vt:variant>
      <vt:variant>
        <vt:i4>0</vt:i4>
      </vt:variant>
      <vt:variant>
        <vt:i4>5</vt:i4>
      </vt:variant>
      <vt:variant>
        <vt:lpwstr/>
      </vt:variant>
      <vt:variant>
        <vt:lpwstr>_Toc328374990</vt:lpwstr>
      </vt:variant>
      <vt:variant>
        <vt:i4>1703989</vt:i4>
      </vt:variant>
      <vt:variant>
        <vt:i4>32</vt:i4>
      </vt:variant>
      <vt:variant>
        <vt:i4>0</vt:i4>
      </vt:variant>
      <vt:variant>
        <vt:i4>5</vt:i4>
      </vt:variant>
      <vt:variant>
        <vt:lpwstr/>
      </vt:variant>
      <vt:variant>
        <vt:lpwstr>_Toc328374989</vt:lpwstr>
      </vt:variant>
      <vt:variant>
        <vt:i4>1703989</vt:i4>
      </vt:variant>
      <vt:variant>
        <vt:i4>26</vt:i4>
      </vt:variant>
      <vt:variant>
        <vt:i4>0</vt:i4>
      </vt:variant>
      <vt:variant>
        <vt:i4>5</vt:i4>
      </vt:variant>
      <vt:variant>
        <vt:lpwstr/>
      </vt:variant>
      <vt:variant>
        <vt:lpwstr>_Toc328374988</vt:lpwstr>
      </vt:variant>
      <vt:variant>
        <vt:i4>1703989</vt:i4>
      </vt:variant>
      <vt:variant>
        <vt:i4>20</vt:i4>
      </vt:variant>
      <vt:variant>
        <vt:i4>0</vt:i4>
      </vt:variant>
      <vt:variant>
        <vt:i4>5</vt:i4>
      </vt:variant>
      <vt:variant>
        <vt:lpwstr/>
      </vt:variant>
      <vt:variant>
        <vt:lpwstr>_Toc328374987</vt:lpwstr>
      </vt:variant>
      <vt:variant>
        <vt:i4>1703989</vt:i4>
      </vt:variant>
      <vt:variant>
        <vt:i4>14</vt:i4>
      </vt:variant>
      <vt:variant>
        <vt:i4>0</vt:i4>
      </vt:variant>
      <vt:variant>
        <vt:i4>5</vt:i4>
      </vt:variant>
      <vt:variant>
        <vt:lpwstr/>
      </vt:variant>
      <vt:variant>
        <vt:lpwstr>_Toc328374986</vt:lpwstr>
      </vt:variant>
      <vt:variant>
        <vt:i4>1703989</vt:i4>
      </vt:variant>
      <vt:variant>
        <vt:i4>8</vt:i4>
      </vt:variant>
      <vt:variant>
        <vt:i4>0</vt:i4>
      </vt:variant>
      <vt:variant>
        <vt:i4>5</vt:i4>
      </vt:variant>
      <vt:variant>
        <vt:lpwstr/>
      </vt:variant>
      <vt:variant>
        <vt:lpwstr>_Toc328374985</vt:lpwstr>
      </vt:variant>
      <vt:variant>
        <vt:i4>1703989</vt:i4>
      </vt:variant>
      <vt:variant>
        <vt:i4>2</vt:i4>
      </vt:variant>
      <vt:variant>
        <vt:i4>0</vt:i4>
      </vt:variant>
      <vt:variant>
        <vt:i4>5</vt:i4>
      </vt:variant>
      <vt:variant>
        <vt:lpwstr/>
      </vt:variant>
      <vt:variant>
        <vt:lpwstr>_Toc328374984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for Education</dc:title>
  <dc:creator>Publishing.TEAM@education.gsi.gov.uk</dc:creator>
  <dc:description>Master-ET-v3.5</dc:description>
  <cp:lastModifiedBy>A Price</cp:lastModifiedBy>
  <cp:revision>4</cp:revision>
  <cp:lastPrinted>2018-11-26T10:29:00Z</cp:lastPrinted>
  <dcterms:created xsi:type="dcterms:W3CDTF">2020-11-11T14:33:00Z</dcterms:created>
  <dcterms:modified xsi:type="dcterms:W3CDTF">2020-11-17T11:10:00Z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0x0101007F645D6FBA204A029FECB8BFC6578C39005279853530254253B886E13194843F8A003AA4A7828D8545A79A935680158123500090692E784D5B8245A9BCC793BA2EE1C9</vt:lpwstr>
  </property>
  <property fmtid="{D5CDD505-2E9C-101B-9397-08002B2CF9AE}" pid="4" name="IWPGroupOOB">
    <vt:lpwstr>Communications Directorate</vt:lpwstr>
  </property>
  <property fmtid="{D5CDD505-2E9C-101B-9397-08002B2CF9AE}" pid="5" name="_dlc_DocIdItemGuid">
    <vt:lpwstr>883a7b46-cb55-417b-9f91-92c86f7101db</vt:lpwstr>
  </property>
  <property fmtid="{D5CDD505-2E9C-101B-9397-08002B2CF9AE}" pid="6" name="IWPOrganisationalUnit">
    <vt:lpwstr>56;#NCTL|50b03fc4-9596-44c0-8ddf-78c55856c7ae</vt:lpwstr>
  </property>
  <property fmtid="{D5CDD505-2E9C-101B-9397-08002B2CF9AE}" pid="7" name="IWPOwner">
    <vt:lpwstr>55;#NCTA|8a55f59b-7d94-44dd-a344-986d47acf947</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ies>
</file>